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B70" w:rsidRDefault="007C4B70" w:rsidP="007C4B70">
      <w:pPr>
        <w:pStyle w:val="Default"/>
        <w:jc w:val="center"/>
      </w:pPr>
      <w:r>
        <w:rPr>
          <w:b/>
          <w:bCs/>
        </w:rPr>
        <w:t>АННОТАЦИЯ</w:t>
      </w:r>
    </w:p>
    <w:p w:rsidR="007C4B70" w:rsidRDefault="007C4B70" w:rsidP="007C4B70">
      <w:pPr>
        <w:pStyle w:val="Default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7C4B70" w:rsidRDefault="007C4B70" w:rsidP="007C4B70">
      <w:pPr>
        <w:pStyle w:val="Default"/>
        <w:jc w:val="center"/>
        <w:rPr>
          <w:b/>
          <w:bCs/>
        </w:rPr>
      </w:pPr>
    </w:p>
    <w:p w:rsidR="007C4B70" w:rsidRDefault="008A2D9E" w:rsidP="007C4B70">
      <w:pPr>
        <w:pStyle w:val="Default"/>
        <w:jc w:val="center"/>
        <w:rPr>
          <w:b/>
          <w:bCs/>
        </w:rPr>
      </w:pPr>
      <w:r>
        <w:rPr>
          <w:b/>
          <w:bCs/>
        </w:rPr>
        <w:t>«Клиническая ф</w:t>
      </w:r>
      <w:r w:rsidR="007C4B70">
        <w:rPr>
          <w:b/>
          <w:bCs/>
        </w:rPr>
        <w:t>армакология»</w:t>
      </w:r>
    </w:p>
    <w:p w:rsidR="007C4B70" w:rsidRDefault="007C4B70" w:rsidP="007C4B70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8"/>
        <w:gridCol w:w="3670"/>
      </w:tblGrid>
      <w:tr w:rsidR="007C4B70" w:rsidTr="00CD0581">
        <w:trPr>
          <w:trHeight w:val="26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CD0581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CD0581" w:rsidRDefault="009A3A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</w:rPr>
              <w:t>31.05.02 «Педиатрия</w:t>
            </w:r>
            <w:r w:rsidR="007C4B70" w:rsidRPr="00CD0581">
              <w:rPr>
                <w:bCs/>
                <w:sz w:val="24"/>
                <w:szCs w:val="24"/>
              </w:rPr>
              <w:t>»</w:t>
            </w:r>
            <w:r w:rsidR="007C4B70" w:rsidRPr="00CD0581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C4B70" w:rsidTr="00CD0581">
        <w:trPr>
          <w:trHeight w:val="283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CD0581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color w:val="FF0000"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CD0581" w:rsidRDefault="00C34A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7C4B70" w:rsidTr="00CD0581">
        <w:trPr>
          <w:trHeight w:val="551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0" w:rsidRPr="00CD0581" w:rsidRDefault="007C4B70">
            <w:pPr>
              <w:widowControl w:val="0"/>
              <w:suppressAutoHyphens/>
              <w:autoSpaceDE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0" w:rsidRPr="00CD0581" w:rsidRDefault="00C34A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D0581">
              <w:rPr>
                <w:bCs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7C4B70" w:rsidRDefault="007C4B70" w:rsidP="0064730C">
      <w:pPr>
        <w:pStyle w:val="Default"/>
        <w:jc w:val="both"/>
      </w:pPr>
    </w:p>
    <w:p w:rsidR="007C4B70" w:rsidRDefault="007C4B70" w:rsidP="0064730C">
      <w:pPr>
        <w:pStyle w:val="Defaul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Цель изучения дисциплины</w:t>
      </w:r>
    </w:p>
    <w:p w:rsidR="008A2D9E" w:rsidRPr="008A2D9E" w:rsidRDefault="008A2D9E" w:rsidP="008A2D9E">
      <w:pPr>
        <w:spacing w:after="0" w:line="36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sz w:val="24"/>
          <w:szCs w:val="24"/>
          <w:lang w:eastAsia="ru-RU"/>
        </w:rPr>
        <w:t>О</w:t>
      </w:r>
      <w:r w:rsidRPr="008A2D9E">
        <w:rPr>
          <w:rFonts w:eastAsia="Calibri"/>
          <w:sz w:val="24"/>
          <w:szCs w:val="24"/>
          <w:lang w:eastAsia="ru-RU"/>
        </w:rPr>
        <w:t>бучить студента выбору эффективных, безопасных и дост</w:t>
      </w:r>
      <w:r w:rsidR="008E317D">
        <w:rPr>
          <w:rFonts w:eastAsia="Calibri"/>
          <w:sz w:val="24"/>
          <w:szCs w:val="24"/>
          <w:lang w:eastAsia="ru-RU"/>
        </w:rPr>
        <w:t>упных лекарственных средств</w:t>
      </w:r>
      <w:r w:rsidRPr="008A2D9E">
        <w:rPr>
          <w:rFonts w:eastAsia="Calibri"/>
          <w:sz w:val="24"/>
          <w:szCs w:val="24"/>
          <w:lang w:eastAsia="ru-RU"/>
        </w:rPr>
        <w:t xml:space="preserve"> для проведения современной индивидуализированной фармакотерапии с использованием основны</w:t>
      </w:r>
      <w:r w:rsidR="009A3A41">
        <w:rPr>
          <w:rFonts w:eastAsia="Calibri"/>
          <w:sz w:val="24"/>
          <w:szCs w:val="24"/>
          <w:lang w:eastAsia="ru-RU"/>
        </w:rPr>
        <w:t>х данных по фармакокинетике</w:t>
      </w:r>
      <w:r w:rsidR="008E317D">
        <w:rPr>
          <w:rFonts w:eastAsia="Calibri"/>
          <w:sz w:val="24"/>
          <w:szCs w:val="24"/>
          <w:lang w:eastAsia="ru-RU"/>
        </w:rPr>
        <w:t>, фармакодинамике</w:t>
      </w:r>
      <w:r w:rsidRPr="008A2D9E">
        <w:rPr>
          <w:rFonts w:eastAsia="Calibri"/>
          <w:sz w:val="24"/>
          <w:szCs w:val="24"/>
          <w:lang w:eastAsia="ru-RU"/>
        </w:rPr>
        <w:t xml:space="preserve">, </w:t>
      </w:r>
      <w:r w:rsidR="008E317D">
        <w:rPr>
          <w:rFonts w:eastAsia="Calibri"/>
          <w:sz w:val="24"/>
          <w:szCs w:val="24"/>
          <w:lang w:eastAsia="ru-RU"/>
        </w:rPr>
        <w:t>фармакогенетике</w:t>
      </w:r>
      <w:r w:rsidRPr="008A2D9E">
        <w:rPr>
          <w:rFonts w:eastAsia="Calibri"/>
          <w:sz w:val="24"/>
          <w:szCs w:val="24"/>
          <w:lang w:eastAsia="ru-RU"/>
        </w:rPr>
        <w:t>, взаимодействию, нежелатель</w:t>
      </w:r>
      <w:r w:rsidR="008E317D">
        <w:rPr>
          <w:rFonts w:eastAsia="Calibri"/>
          <w:sz w:val="24"/>
          <w:szCs w:val="24"/>
          <w:lang w:eastAsia="ru-RU"/>
        </w:rPr>
        <w:t>ным лекарственным реакциям</w:t>
      </w:r>
      <w:r w:rsidRPr="008A2D9E">
        <w:rPr>
          <w:rFonts w:eastAsia="Calibri"/>
          <w:sz w:val="24"/>
          <w:szCs w:val="24"/>
          <w:lang w:eastAsia="ru-RU"/>
        </w:rPr>
        <w:t xml:space="preserve"> и полож</w:t>
      </w:r>
      <w:r w:rsidR="008E317D">
        <w:rPr>
          <w:rFonts w:eastAsia="Calibri"/>
          <w:sz w:val="24"/>
          <w:szCs w:val="24"/>
          <w:lang w:eastAsia="ru-RU"/>
        </w:rPr>
        <w:t>ений доказательной медицины</w:t>
      </w:r>
      <w:r w:rsidRPr="008A2D9E">
        <w:rPr>
          <w:rFonts w:eastAsia="Calibri"/>
          <w:sz w:val="24"/>
          <w:szCs w:val="24"/>
          <w:lang w:eastAsia="ru-RU"/>
        </w:rPr>
        <w:t>.</w:t>
      </w:r>
    </w:p>
    <w:p w:rsidR="007C4B70" w:rsidRDefault="007C4B70" w:rsidP="0064730C">
      <w:pPr>
        <w:pStyle w:val="Default"/>
        <w:numPr>
          <w:ilvl w:val="0"/>
          <w:numId w:val="4"/>
        </w:numPr>
        <w:spacing w:line="360" w:lineRule="auto"/>
        <w:jc w:val="both"/>
      </w:pPr>
      <w:r>
        <w:rPr>
          <w:b/>
          <w:bCs/>
        </w:rPr>
        <w:t xml:space="preserve">Требования к результатам освоения дисциплины </w:t>
      </w:r>
    </w:p>
    <w:p w:rsidR="007C4B70" w:rsidRPr="007C4B70" w:rsidRDefault="007C4B70" w:rsidP="0064730C">
      <w:pPr>
        <w:pStyle w:val="Default"/>
        <w:spacing w:line="360" w:lineRule="auto"/>
        <w:ind w:firstLine="709"/>
        <w:jc w:val="both"/>
        <w:rPr>
          <w:rFonts w:eastAsia="Calibri"/>
          <w:lang w:eastAsia="ru-RU"/>
        </w:rPr>
      </w:pPr>
      <w:r>
        <w:t xml:space="preserve">Изучение дисциплины «Фармакология» направлено на формирование следующих компетенций в соответствии с </w:t>
      </w:r>
      <w:r w:rsidR="00AD165A" w:rsidRPr="00043FAA">
        <w:rPr>
          <w:bCs/>
          <w:lang w:eastAsia="ru-RU"/>
        </w:rPr>
        <w:t xml:space="preserve">ФГОС ВО </w:t>
      </w:r>
      <w:r w:rsidR="00AD165A">
        <w:rPr>
          <w:bCs/>
          <w:lang w:eastAsia="ru-RU"/>
        </w:rPr>
        <w:t>3++</w:t>
      </w:r>
      <w:r>
        <w:t xml:space="preserve"> по </w:t>
      </w:r>
      <w:r w:rsidRPr="007C4B70">
        <w:t>специальности</w:t>
      </w:r>
      <w:r w:rsidRPr="007C4B70">
        <w:rPr>
          <w:color w:val="00B0F0"/>
        </w:rPr>
        <w:t xml:space="preserve"> </w:t>
      </w:r>
      <w:r w:rsidR="009A3A41">
        <w:t>31.05.02 «Педиатрия</w:t>
      </w:r>
      <w:r w:rsidRPr="007C4B70">
        <w:t>»:</w:t>
      </w:r>
    </w:p>
    <w:p w:rsidR="008927C0" w:rsidRDefault="005C12D2" w:rsidP="0064730C">
      <w:pPr>
        <w:pStyle w:val="Default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3. </w:t>
      </w:r>
      <w:r w:rsidR="007C4B70">
        <w:rPr>
          <w:b/>
          <w:bCs/>
        </w:rPr>
        <w:t xml:space="preserve">Краткое </w:t>
      </w:r>
      <w:r w:rsidR="007C4B70">
        <w:t>с</w:t>
      </w:r>
      <w:r w:rsidR="007C4B70">
        <w:rPr>
          <w:b/>
          <w:bCs/>
        </w:rPr>
        <w:t xml:space="preserve">одержание дисциплины </w:t>
      </w:r>
    </w:p>
    <w:p w:rsidR="008A2D9E" w:rsidRDefault="007C4B70" w:rsidP="0064730C">
      <w:pPr>
        <w:spacing w:after="0"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0455D8">
        <w:rPr>
          <w:b/>
          <w:sz w:val="24"/>
          <w:szCs w:val="24"/>
        </w:rPr>
        <w:t xml:space="preserve">Раздел 1. </w:t>
      </w:r>
      <w:r w:rsidR="008A2D9E" w:rsidRPr="008A2D9E">
        <w:rPr>
          <w:b/>
          <w:i/>
          <w:snapToGrid w:val="0"/>
          <w:sz w:val="24"/>
          <w:szCs w:val="24"/>
          <w:lang w:eastAsia="ru-RU"/>
        </w:rPr>
        <w:t>Общие вопросы клинической фармакологии.</w:t>
      </w:r>
      <w:r w:rsidR="008A2D9E">
        <w:rPr>
          <w:snapToGrid w:val="0"/>
          <w:sz w:val="24"/>
          <w:szCs w:val="24"/>
          <w:lang w:eastAsia="ru-RU"/>
        </w:rPr>
        <w:t xml:space="preserve">  </w:t>
      </w:r>
      <w:r w:rsidR="008A2D9E">
        <w:rPr>
          <w:color w:val="000000"/>
          <w:sz w:val="24"/>
          <w:szCs w:val="24"/>
          <w:lang w:eastAsia="ru-RU"/>
        </w:rPr>
        <w:t xml:space="preserve">Введение в клиническую фармакологию. Предмет, задачи и методы клинической фармакологии. Клиническая фармакокинетика и </w:t>
      </w:r>
      <w:proofErr w:type="spellStart"/>
      <w:r w:rsidR="008A2D9E">
        <w:rPr>
          <w:color w:val="000000"/>
          <w:sz w:val="24"/>
          <w:szCs w:val="24"/>
          <w:lang w:eastAsia="ru-RU"/>
        </w:rPr>
        <w:t>фармакодинамика</w:t>
      </w:r>
      <w:proofErr w:type="spellEnd"/>
      <w:r w:rsidR="008A2D9E">
        <w:rPr>
          <w:color w:val="000000"/>
          <w:sz w:val="24"/>
          <w:szCs w:val="24"/>
          <w:lang w:eastAsia="ru-RU"/>
        </w:rPr>
        <w:t xml:space="preserve">, клиническая </w:t>
      </w:r>
      <w:proofErr w:type="spellStart"/>
      <w:r w:rsidR="008A2D9E">
        <w:rPr>
          <w:color w:val="000000"/>
          <w:sz w:val="24"/>
          <w:szCs w:val="24"/>
          <w:lang w:eastAsia="ru-RU"/>
        </w:rPr>
        <w:t>фармакогенетиа</w:t>
      </w:r>
      <w:proofErr w:type="spellEnd"/>
      <w:r w:rsidR="008A2D9E">
        <w:rPr>
          <w:color w:val="000000"/>
          <w:sz w:val="24"/>
          <w:szCs w:val="24"/>
          <w:lang w:eastAsia="ru-RU"/>
        </w:rPr>
        <w:t xml:space="preserve">. Клиническая фармакоэпидемиология и фармакоэкономика. Доказательная медицина. Источники клинико-фармакологической информации. Клинические исследования. Формулярная система. Взаимодействие лекарственных средств. Нежелательные реакции. Особенности применения лекарственных средств у детей, пожилых, беременных и </w:t>
      </w:r>
      <w:proofErr w:type="spellStart"/>
      <w:r w:rsidR="008A2D9E">
        <w:rPr>
          <w:color w:val="000000"/>
          <w:sz w:val="24"/>
          <w:szCs w:val="24"/>
          <w:lang w:eastAsia="ru-RU"/>
        </w:rPr>
        <w:t>лактирующих</w:t>
      </w:r>
      <w:proofErr w:type="spellEnd"/>
      <w:r w:rsidR="008A2D9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8A2D9E">
        <w:rPr>
          <w:color w:val="000000"/>
          <w:sz w:val="24"/>
          <w:szCs w:val="24"/>
          <w:lang w:eastAsia="ru-RU"/>
        </w:rPr>
        <w:t>коморбидных</w:t>
      </w:r>
      <w:proofErr w:type="spellEnd"/>
      <w:r w:rsidR="008A2D9E">
        <w:rPr>
          <w:color w:val="000000"/>
          <w:sz w:val="24"/>
          <w:szCs w:val="24"/>
          <w:lang w:eastAsia="ru-RU"/>
        </w:rPr>
        <w:t xml:space="preserve"> пациентов.</w:t>
      </w:r>
    </w:p>
    <w:p w:rsidR="007C4B70" w:rsidRDefault="007C4B70" w:rsidP="0064730C">
      <w:pPr>
        <w:spacing w:after="0" w:line="360" w:lineRule="auto"/>
        <w:ind w:firstLine="709"/>
        <w:jc w:val="both"/>
      </w:pPr>
      <w:r w:rsidRPr="000455D8">
        <w:rPr>
          <w:b/>
          <w:sz w:val="24"/>
          <w:szCs w:val="24"/>
        </w:rPr>
        <w:t>Раздел 2</w:t>
      </w:r>
      <w:r w:rsidRPr="000455D8">
        <w:rPr>
          <w:b/>
          <w:i/>
          <w:sz w:val="24"/>
          <w:szCs w:val="24"/>
        </w:rPr>
        <w:t>.</w:t>
      </w:r>
      <w:r w:rsidRPr="00952CAA">
        <w:rPr>
          <w:b/>
          <w:i/>
          <w:sz w:val="24"/>
          <w:szCs w:val="24"/>
        </w:rPr>
        <w:t xml:space="preserve"> </w:t>
      </w:r>
      <w:r w:rsidR="008A2D9E" w:rsidRPr="008A2D9E">
        <w:rPr>
          <w:b/>
          <w:i/>
          <w:color w:val="000000"/>
          <w:sz w:val="24"/>
          <w:szCs w:val="24"/>
        </w:rPr>
        <w:t>Частные вопросы клинической фармакологии.</w:t>
      </w:r>
      <w:r w:rsidR="008A2D9E">
        <w:rPr>
          <w:color w:val="000000"/>
          <w:sz w:val="24"/>
          <w:szCs w:val="24"/>
        </w:rPr>
        <w:t xml:space="preserve"> </w:t>
      </w:r>
      <w:r w:rsidR="008A2D9E">
        <w:rPr>
          <w:color w:val="000000"/>
          <w:sz w:val="24"/>
          <w:szCs w:val="24"/>
          <w:lang w:eastAsia="ru-RU"/>
        </w:rPr>
        <w:t xml:space="preserve">Рациональная антибактериальная терапия. Алгоритмы борьбы с антибиотикорезистентностью.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фармакология синтетических химиотерапевтических средств, противовирусных и противогрибковых препаратов.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фармакология антигипертензивных средств, диуретики. Клиническая фар</w:t>
      </w:r>
      <w:r w:rsidR="008E317D">
        <w:rPr>
          <w:color w:val="000000"/>
          <w:sz w:val="24"/>
          <w:szCs w:val="24"/>
          <w:lang w:eastAsia="ru-RU"/>
        </w:rPr>
        <w:t>макология противоаритмических лекарственных средств</w:t>
      </w:r>
      <w:r w:rsidR="008A2D9E" w:rsidRPr="00FE2368">
        <w:rPr>
          <w:color w:val="000000"/>
          <w:sz w:val="24"/>
          <w:szCs w:val="24"/>
          <w:lang w:eastAsia="ru-RU"/>
        </w:rPr>
        <w:t>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 xml:space="preserve">Клиническая фармакология </w:t>
      </w:r>
      <w:r w:rsidR="008E317D">
        <w:rPr>
          <w:color w:val="000000"/>
          <w:sz w:val="24"/>
          <w:szCs w:val="24"/>
          <w:lang w:eastAsia="ru-RU"/>
        </w:rPr>
        <w:t>лекарственных средств, применяемых при ишемической болезни сердца и сердечной недостаточности</w:t>
      </w:r>
      <w:r w:rsidR="008A2D9E" w:rsidRPr="00FE2368">
        <w:rPr>
          <w:color w:val="000000"/>
          <w:sz w:val="24"/>
          <w:szCs w:val="24"/>
          <w:lang w:eastAsia="ru-RU"/>
        </w:rPr>
        <w:t>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фармакология анальге</w:t>
      </w:r>
      <w:r w:rsidR="008E317D">
        <w:rPr>
          <w:color w:val="000000"/>
          <w:sz w:val="24"/>
          <w:szCs w:val="24"/>
          <w:lang w:eastAsia="ru-RU"/>
        </w:rPr>
        <w:t>тиков и противовоспалительных лекарственных средств</w:t>
      </w:r>
      <w:r w:rsidR="008A2D9E" w:rsidRPr="00FE2368">
        <w:rPr>
          <w:color w:val="000000"/>
          <w:sz w:val="24"/>
          <w:szCs w:val="24"/>
          <w:lang w:eastAsia="ru-RU"/>
        </w:rPr>
        <w:t>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</w:t>
      </w:r>
      <w:r w:rsidR="008E317D">
        <w:rPr>
          <w:color w:val="000000"/>
          <w:sz w:val="24"/>
          <w:szCs w:val="24"/>
          <w:lang w:eastAsia="ru-RU"/>
        </w:rPr>
        <w:t>акология противоаллергических лекарственных средств.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E317D">
        <w:rPr>
          <w:color w:val="000000"/>
          <w:sz w:val="24"/>
          <w:szCs w:val="24"/>
          <w:lang w:eastAsia="ru-RU"/>
        </w:rPr>
        <w:t>Клиническая фармакология лекарственных средств, применяемых при сахарном диабете</w:t>
      </w:r>
      <w:r w:rsidR="008A2D9E" w:rsidRPr="00FE2368">
        <w:rPr>
          <w:color w:val="000000"/>
          <w:sz w:val="24"/>
          <w:szCs w:val="24"/>
          <w:lang w:eastAsia="ru-RU"/>
        </w:rPr>
        <w:t>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E317D">
        <w:rPr>
          <w:color w:val="000000"/>
          <w:sz w:val="24"/>
          <w:szCs w:val="24"/>
          <w:lang w:eastAsia="ru-RU"/>
        </w:rPr>
        <w:t>Клиническая фармакология лекарственных средств</w:t>
      </w:r>
      <w:r w:rsidR="008A2D9E" w:rsidRPr="00FE2368">
        <w:rPr>
          <w:color w:val="000000"/>
          <w:sz w:val="24"/>
          <w:szCs w:val="24"/>
          <w:lang w:eastAsia="ru-RU"/>
        </w:rPr>
        <w:t>, применяемых при заболеваниях щитовидной железы.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фармакология лекарственных средств, влияющих на бронхиальную проходимость.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A2D9E" w:rsidRPr="00FE2368">
        <w:rPr>
          <w:color w:val="000000"/>
          <w:sz w:val="24"/>
          <w:szCs w:val="24"/>
          <w:lang w:eastAsia="ru-RU"/>
        </w:rPr>
        <w:t>Клиническая фармакология лекарственных средств, влияющих на функции ЖКТ.</w:t>
      </w:r>
      <w:r w:rsidR="008A2D9E">
        <w:rPr>
          <w:color w:val="000000"/>
          <w:sz w:val="24"/>
          <w:szCs w:val="24"/>
          <w:lang w:eastAsia="ru-RU"/>
        </w:rPr>
        <w:t xml:space="preserve">  </w:t>
      </w:r>
      <w:r w:rsidR="008E317D">
        <w:rPr>
          <w:color w:val="000000"/>
          <w:sz w:val="24"/>
          <w:szCs w:val="24"/>
          <w:lang w:eastAsia="ru-RU"/>
        </w:rPr>
        <w:t>Клиническая фармакология лекарственных средств</w:t>
      </w:r>
      <w:r w:rsidR="008A2D9E" w:rsidRPr="00FE2368">
        <w:rPr>
          <w:color w:val="000000"/>
          <w:sz w:val="24"/>
          <w:szCs w:val="24"/>
          <w:lang w:eastAsia="ru-RU"/>
        </w:rPr>
        <w:t xml:space="preserve">, влияющих на </w:t>
      </w:r>
      <w:proofErr w:type="spellStart"/>
      <w:r w:rsidR="008A2D9E" w:rsidRPr="00FE2368">
        <w:rPr>
          <w:color w:val="000000"/>
          <w:sz w:val="24"/>
          <w:szCs w:val="24"/>
          <w:lang w:eastAsia="ru-RU"/>
        </w:rPr>
        <w:t>эритро</w:t>
      </w:r>
      <w:proofErr w:type="spellEnd"/>
      <w:r w:rsidR="008A2D9E" w:rsidRPr="00FE2368">
        <w:rPr>
          <w:color w:val="000000"/>
          <w:sz w:val="24"/>
          <w:szCs w:val="24"/>
          <w:lang w:eastAsia="ru-RU"/>
        </w:rPr>
        <w:t xml:space="preserve">- и </w:t>
      </w:r>
      <w:proofErr w:type="spellStart"/>
      <w:r w:rsidR="008A2D9E" w:rsidRPr="00FE2368">
        <w:rPr>
          <w:color w:val="000000"/>
          <w:sz w:val="24"/>
          <w:szCs w:val="24"/>
          <w:lang w:eastAsia="ru-RU"/>
        </w:rPr>
        <w:t>лейкопоэз</w:t>
      </w:r>
      <w:proofErr w:type="spellEnd"/>
      <w:r w:rsidR="008A2D9E" w:rsidRPr="00FE2368">
        <w:rPr>
          <w:color w:val="000000"/>
          <w:sz w:val="24"/>
          <w:szCs w:val="24"/>
          <w:lang w:eastAsia="ru-RU"/>
        </w:rPr>
        <w:t>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E317D">
        <w:rPr>
          <w:color w:val="000000"/>
          <w:sz w:val="24"/>
          <w:szCs w:val="24"/>
          <w:lang w:eastAsia="ru-RU"/>
        </w:rPr>
        <w:t>Клиническая фармакология лекарственных средств</w:t>
      </w:r>
      <w:r w:rsidR="008A2D9E" w:rsidRPr="00FE2368">
        <w:rPr>
          <w:color w:val="000000"/>
          <w:sz w:val="24"/>
          <w:szCs w:val="24"/>
          <w:lang w:eastAsia="ru-RU"/>
        </w:rPr>
        <w:t xml:space="preserve">, влияющих </w:t>
      </w:r>
      <w:r w:rsidR="008A2D9E" w:rsidRPr="00FE2368">
        <w:rPr>
          <w:color w:val="000000"/>
          <w:sz w:val="24"/>
          <w:szCs w:val="24"/>
          <w:lang w:eastAsia="ru-RU"/>
        </w:rPr>
        <w:lastRenderedPageBreak/>
        <w:t>на свертывающую систему крови.</w:t>
      </w:r>
      <w:r w:rsidR="008A2D9E">
        <w:rPr>
          <w:color w:val="000000"/>
          <w:sz w:val="24"/>
          <w:szCs w:val="24"/>
          <w:lang w:eastAsia="ru-RU"/>
        </w:rPr>
        <w:t xml:space="preserve"> </w:t>
      </w:r>
      <w:r w:rsidR="008E317D">
        <w:rPr>
          <w:color w:val="000000"/>
          <w:sz w:val="24"/>
          <w:szCs w:val="24"/>
          <w:lang w:eastAsia="ru-RU"/>
        </w:rPr>
        <w:t>Клиническая фармакология лекарственных средств, применяемых при остром нарушении мозгового кровообращения</w:t>
      </w:r>
      <w:r w:rsidR="008E317D" w:rsidRPr="00FE2368">
        <w:rPr>
          <w:color w:val="000000"/>
          <w:sz w:val="24"/>
          <w:szCs w:val="24"/>
          <w:lang w:eastAsia="ru-RU"/>
        </w:rPr>
        <w:t>.</w:t>
      </w:r>
      <w:r w:rsidR="008E317D">
        <w:rPr>
          <w:color w:val="000000"/>
          <w:sz w:val="24"/>
          <w:szCs w:val="24"/>
          <w:lang w:eastAsia="ru-RU"/>
        </w:rPr>
        <w:t xml:space="preserve"> </w:t>
      </w:r>
      <w:r w:rsidR="008E317D" w:rsidRPr="00FE2368">
        <w:rPr>
          <w:color w:val="000000"/>
          <w:sz w:val="24"/>
          <w:szCs w:val="24"/>
          <w:lang w:eastAsia="ru-RU"/>
        </w:rPr>
        <w:t>Клиническая ф</w:t>
      </w:r>
      <w:r w:rsidR="008E317D">
        <w:rPr>
          <w:color w:val="000000"/>
          <w:sz w:val="24"/>
          <w:szCs w:val="24"/>
          <w:lang w:eastAsia="ru-RU"/>
        </w:rPr>
        <w:t>армакология противоопухолевых лекарственных средств</w:t>
      </w:r>
      <w:r w:rsidR="008E317D" w:rsidRPr="00FE2368">
        <w:rPr>
          <w:color w:val="000000"/>
          <w:sz w:val="24"/>
          <w:szCs w:val="24"/>
          <w:lang w:eastAsia="ru-RU"/>
        </w:rPr>
        <w:t>.</w:t>
      </w:r>
      <w:r w:rsidR="008E317D">
        <w:rPr>
          <w:color w:val="000000"/>
          <w:sz w:val="24"/>
          <w:szCs w:val="24"/>
          <w:lang w:eastAsia="ru-RU"/>
        </w:rPr>
        <w:t xml:space="preserve"> </w:t>
      </w:r>
      <w:r w:rsidR="008E317D" w:rsidRPr="00FE2368">
        <w:rPr>
          <w:color w:val="000000"/>
          <w:sz w:val="24"/>
          <w:szCs w:val="24"/>
          <w:lang w:eastAsia="ru-RU"/>
        </w:rPr>
        <w:t>Основы бережливых технологий.</w:t>
      </w:r>
    </w:p>
    <w:sectPr w:rsidR="007C4B70" w:rsidSect="005C12D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BE1"/>
    <w:multiLevelType w:val="hybridMultilevel"/>
    <w:tmpl w:val="AEE299A4"/>
    <w:lvl w:ilvl="0" w:tplc="99FE2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 w15:restartNumberingAfterBreak="0">
    <w:nsid w:val="327A403C"/>
    <w:multiLevelType w:val="hybridMultilevel"/>
    <w:tmpl w:val="8B04A19A"/>
    <w:lvl w:ilvl="0" w:tplc="C1AEB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6C40A29"/>
    <w:multiLevelType w:val="hybridMultilevel"/>
    <w:tmpl w:val="E8AA6D38"/>
    <w:lvl w:ilvl="0" w:tplc="40046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9067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020162">
    <w:abstractNumId w:val="2"/>
  </w:num>
  <w:num w:numId="3" w16cid:durableId="98919045">
    <w:abstractNumId w:val="0"/>
  </w:num>
  <w:num w:numId="4" w16cid:durableId="203988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03E"/>
    <w:rsid w:val="00566006"/>
    <w:rsid w:val="005C12D2"/>
    <w:rsid w:val="0064730C"/>
    <w:rsid w:val="007C4B70"/>
    <w:rsid w:val="0085303E"/>
    <w:rsid w:val="008927C0"/>
    <w:rsid w:val="008A2D9E"/>
    <w:rsid w:val="008E317D"/>
    <w:rsid w:val="009A3A41"/>
    <w:rsid w:val="009C58E4"/>
    <w:rsid w:val="00A46189"/>
    <w:rsid w:val="00AD165A"/>
    <w:rsid w:val="00C34A4E"/>
    <w:rsid w:val="00CD0581"/>
    <w:rsid w:val="00E767FB"/>
    <w:rsid w:val="00F14F02"/>
    <w:rsid w:val="00F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29AD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4B70"/>
    <w:pPr>
      <w:ind w:left="720"/>
      <w:contextualSpacing/>
    </w:pPr>
  </w:style>
  <w:style w:type="paragraph" w:customStyle="1" w:styleId="a4">
    <w:name w:val="Стиль"/>
    <w:rsid w:val="007C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8A2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Морозов</dc:creator>
  <cp:lastModifiedBy>Иван Савчук</cp:lastModifiedBy>
  <cp:revision>5</cp:revision>
  <dcterms:created xsi:type="dcterms:W3CDTF">2022-10-21T09:14:00Z</dcterms:created>
  <dcterms:modified xsi:type="dcterms:W3CDTF">2024-04-09T09:51:00Z</dcterms:modified>
</cp:coreProperties>
</file>