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B5F15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9B5F15" w:rsidRDefault="00000000">
      <w:pPr>
        <w:pStyle w:val="Default"/>
        <w:jc w:val="center"/>
      </w:pPr>
      <w:r>
        <w:rPr>
          <w:b/>
          <w:bCs/>
        </w:rPr>
        <w:t>рабочей программы дисциплины «Инфекционные болезни у детей»</w:t>
      </w:r>
    </w:p>
    <w:p w:rsidR="009B5F15" w:rsidRDefault="009B5F15">
      <w:pPr>
        <w:pStyle w:val="Defaul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5513"/>
      </w:tblGrid>
      <w:tr w:rsidR="00A57FE5" w:rsidRPr="00C65378" w:rsidTr="00A57FE5">
        <w:trPr>
          <w:trHeight w:val="461"/>
        </w:trPr>
        <w:tc>
          <w:tcPr>
            <w:tcW w:w="4658" w:type="dxa"/>
          </w:tcPr>
          <w:p w:rsidR="00A57FE5" w:rsidRPr="00AE5042" w:rsidRDefault="00A57FE5" w:rsidP="006A00F3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AE5042">
              <w:rPr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513" w:type="dxa"/>
          </w:tcPr>
          <w:p w:rsidR="00A57FE5" w:rsidRPr="00C65378" w:rsidRDefault="00A57FE5" w:rsidP="006A00F3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  <w:r w:rsidRPr="00C65378">
              <w:rPr>
                <w:sz w:val="24"/>
                <w:szCs w:val="24"/>
              </w:rPr>
              <w:t>31.05.02 Педиатрия</w:t>
            </w:r>
          </w:p>
        </w:tc>
      </w:tr>
      <w:tr w:rsidR="00A57FE5" w:rsidRPr="00AE5042" w:rsidTr="00A57FE5">
        <w:trPr>
          <w:trHeight w:val="330"/>
        </w:trPr>
        <w:tc>
          <w:tcPr>
            <w:tcW w:w="4658" w:type="dxa"/>
          </w:tcPr>
          <w:p w:rsidR="00A57FE5" w:rsidRPr="00AE5042" w:rsidRDefault="00A57FE5" w:rsidP="006A00F3">
            <w:pPr>
              <w:widowControl w:val="0"/>
              <w:autoSpaceDE w:val="0"/>
              <w:spacing w:after="0" w:line="240" w:lineRule="auto"/>
              <w:rPr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513" w:type="dxa"/>
          </w:tcPr>
          <w:p w:rsidR="00A57FE5" w:rsidRPr="00AE5042" w:rsidRDefault="00A57FE5" w:rsidP="006A00F3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AE5042">
              <w:rPr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A57FE5" w:rsidRPr="00AE5042" w:rsidTr="00A57FE5">
        <w:trPr>
          <w:trHeight w:val="330"/>
        </w:trPr>
        <w:tc>
          <w:tcPr>
            <w:tcW w:w="4658" w:type="dxa"/>
          </w:tcPr>
          <w:p w:rsidR="00A57FE5" w:rsidRPr="00AE5042" w:rsidRDefault="00A57FE5" w:rsidP="006A00F3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AE5042">
              <w:rPr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513" w:type="dxa"/>
          </w:tcPr>
          <w:p w:rsidR="00A57FE5" w:rsidRPr="00AE5042" w:rsidRDefault="00A57FE5" w:rsidP="006A00F3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AE5042">
              <w:rPr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A57FE5" w:rsidRDefault="00A57FE5">
      <w:pPr>
        <w:pStyle w:val="Default"/>
        <w:jc w:val="center"/>
      </w:pPr>
    </w:p>
    <w:p w:rsidR="009B5F15" w:rsidRDefault="00000000">
      <w:pPr>
        <w:pStyle w:val="Default"/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 xml:space="preserve">1. Цель изучения дисциплины </w:t>
      </w:r>
    </w:p>
    <w:p w:rsidR="009B5F15" w:rsidRDefault="00000000">
      <w:pPr>
        <w:tabs>
          <w:tab w:val="left" w:pos="993"/>
        </w:tabs>
        <w:spacing w:after="0" w:line="100" w:lineRule="atLeast"/>
        <w:jc w:val="both"/>
      </w:pPr>
      <w:r>
        <w:rPr>
          <w:sz w:val="24"/>
          <w:szCs w:val="24"/>
        </w:rPr>
        <w:t>Целью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освоения дисциплины является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овладение знаниями об этиологии, эпидемиологии, патогенезе, клинике, а также о методах диагностики с учетом данных эпидемического анамнеза, ведущих клинических синдромов, результатов лабораторного обследования, дифференциальной </w:t>
      </w:r>
      <w:proofErr w:type="gramStart"/>
      <w:r>
        <w:rPr>
          <w:color w:val="000000"/>
          <w:sz w:val="24"/>
          <w:szCs w:val="24"/>
        </w:rPr>
        <w:t>диагностики,  лечения</w:t>
      </w:r>
      <w:proofErr w:type="gramEnd"/>
      <w:r>
        <w:rPr>
          <w:color w:val="000000"/>
          <w:sz w:val="24"/>
          <w:szCs w:val="24"/>
        </w:rPr>
        <w:t xml:space="preserve">,  реабилитации </w:t>
      </w:r>
      <w:proofErr w:type="spellStart"/>
      <w:r>
        <w:rPr>
          <w:color w:val="000000"/>
          <w:sz w:val="24"/>
          <w:szCs w:val="24"/>
        </w:rPr>
        <w:t>реконвалесцентов</w:t>
      </w:r>
      <w:proofErr w:type="spellEnd"/>
      <w:r>
        <w:rPr>
          <w:color w:val="000000"/>
          <w:sz w:val="24"/>
          <w:szCs w:val="24"/>
        </w:rPr>
        <w:t>, профилактики инфекционных заболеваний у детей.</w:t>
      </w:r>
    </w:p>
    <w:p w:rsidR="009B5F15" w:rsidRDefault="00000000">
      <w:pPr>
        <w:pStyle w:val="Default"/>
        <w:tabs>
          <w:tab w:val="left" w:pos="993"/>
        </w:tabs>
      </w:pPr>
      <w:r>
        <w:rPr>
          <w:b/>
        </w:rPr>
        <w:t xml:space="preserve">2. </w:t>
      </w:r>
      <w:r>
        <w:rPr>
          <w:b/>
          <w:bCs/>
        </w:rPr>
        <w:t xml:space="preserve">Краткое </w:t>
      </w:r>
      <w:r>
        <w:rPr>
          <w:b/>
        </w:rPr>
        <w:t>с</w:t>
      </w:r>
      <w:r>
        <w:rPr>
          <w:b/>
          <w:bCs/>
        </w:rPr>
        <w:t>одержание дисциплины</w:t>
      </w:r>
    </w:p>
    <w:p w:rsidR="009B5F15" w:rsidRDefault="00000000">
      <w:pPr>
        <w:tabs>
          <w:tab w:val="left" w:pos="993"/>
        </w:tabs>
        <w:snapToGrid w:val="0"/>
        <w:spacing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Раздел 1: </w:t>
      </w:r>
      <w:r>
        <w:rPr>
          <w:color w:val="000000"/>
          <w:sz w:val="24"/>
          <w:szCs w:val="24"/>
        </w:rPr>
        <w:t xml:space="preserve">Капельные инфекции у детей: корь, краснуха, скарлатина, дифтерия, коклюш, эпидемический паротит. Этиологические и эпидемиологические особенности течения инфекционного процесса на современном этапе, группы риска. Патогенез. Классификация. Клинические проявления в разных возрастных группах. </w:t>
      </w:r>
      <w:proofErr w:type="gramStart"/>
      <w:r>
        <w:rPr>
          <w:color w:val="000000"/>
          <w:sz w:val="24"/>
          <w:szCs w:val="24"/>
        </w:rPr>
        <w:t>Клиническая,  лабораторная</w:t>
      </w:r>
      <w:proofErr w:type="gramEnd"/>
      <w:r>
        <w:rPr>
          <w:color w:val="000000"/>
          <w:sz w:val="24"/>
          <w:szCs w:val="24"/>
        </w:rPr>
        <w:t xml:space="preserve"> и дифференциальная диагностика. Этапное лечение, диспансерное наблюдение и реабилитация </w:t>
      </w:r>
      <w:proofErr w:type="spellStart"/>
      <w:r>
        <w:rPr>
          <w:color w:val="000000"/>
          <w:sz w:val="24"/>
          <w:szCs w:val="24"/>
        </w:rPr>
        <w:t>реконвалесцентов</w:t>
      </w:r>
      <w:proofErr w:type="spellEnd"/>
      <w:r>
        <w:rPr>
          <w:color w:val="000000"/>
          <w:sz w:val="24"/>
          <w:szCs w:val="24"/>
        </w:rPr>
        <w:t xml:space="preserve">. Профилактика и проведение противоэпидемических мероприятий в очаге. </w:t>
      </w:r>
    </w:p>
    <w:p w:rsidR="009B5F15" w:rsidRDefault="00000000">
      <w:pPr>
        <w:tabs>
          <w:tab w:val="left" w:pos="993"/>
        </w:tabs>
        <w:snapToGrid w:val="0"/>
        <w:spacing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Раздел 2: </w:t>
      </w:r>
      <w:r>
        <w:rPr>
          <w:color w:val="000000"/>
          <w:sz w:val="24"/>
          <w:szCs w:val="24"/>
        </w:rPr>
        <w:t xml:space="preserve">Острые респираторные инфекции у детей: грипп, парагрипп, аденовирусная инфекция, респираторно-синцитиальная инфекция, риновирусная инфекция, </w:t>
      </w:r>
      <w:proofErr w:type="spellStart"/>
      <w:r>
        <w:rPr>
          <w:color w:val="000000"/>
          <w:sz w:val="24"/>
          <w:szCs w:val="24"/>
        </w:rPr>
        <w:t>метапневмовирусная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бокавирусная</w:t>
      </w:r>
      <w:proofErr w:type="spellEnd"/>
      <w:r>
        <w:rPr>
          <w:color w:val="000000"/>
          <w:sz w:val="24"/>
          <w:szCs w:val="24"/>
        </w:rPr>
        <w:t xml:space="preserve">, сезонная коронавирусная инфекции, новая коронавирусная инфекция COVID-19, энтеровирусная инфекции, ОРИ бактериальной этиологии. Этиологические и эпидемиологические особенности на современном этапе, группы риска. Патогенез. Классификация. </w:t>
      </w:r>
      <w:proofErr w:type="gramStart"/>
      <w:r>
        <w:rPr>
          <w:color w:val="000000"/>
          <w:sz w:val="24"/>
          <w:szCs w:val="24"/>
        </w:rPr>
        <w:t>Клинические  особенности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в возрастном аспекте. Диагностика и дифференциальная диагностика. Лечение, диспансерное наблюдение и реабилитация </w:t>
      </w:r>
      <w:proofErr w:type="spellStart"/>
      <w:r>
        <w:rPr>
          <w:bCs/>
          <w:color w:val="000000"/>
          <w:sz w:val="24"/>
          <w:szCs w:val="24"/>
        </w:rPr>
        <w:t>реконвалесцентов</w:t>
      </w:r>
      <w:proofErr w:type="spellEnd"/>
      <w:r>
        <w:rPr>
          <w:bCs/>
          <w:color w:val="000000"/>
          <w:sz w:val="24"/>
          <w:szCs w:val="24"/>
        </w:rPr>
        <w:t>. Специфическая и неспецифическая профилактика. Противоэпидемические мероприятия в очаге.</w:t>
      </w:r>
    </w:p>
    <w:p w:rsidR="009B5F15" w:rsidRDefault="00000000">
      <w:pPr>
        <w:tabs>
          <w:tab w:val="left" w:pos="993"/>
        </w:tabs>
        <w:snapToGrid w:val="0"/>
        <w:spacing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Раздел 3: </w:t>
      </w:r>
      <w:r>
        <w:rPr>
          <w:color w:val="000000"/>
          <w:sz w:val="24"/>
          <w:szCs w:val="24"/>
        </w:rPr>
        <w:t xml:space="preserve">Острые кишечные инфекции у детей: </w:t>
      </w:r>
      <w:proofErr w:type="spellStart"/>
      <w:r>
        <w:rPr>
          <w:color w:val="000000"/>
          <w:sz w:val="24"/>
          <w:szCs w:val="24"/>
        </w:rPr>
        <w:t>шигеллез</w:t>
      </w:r>
      <w:proofErr w:type="spellEnd"/>
      <w:r>
        <w:rPr>
          <w:color w:val="000000"/>
          <w:sz w:val="24"/>
          <w:szCs w:val="24"/>
        </w:rPr>
        <w:t xml:space="preserve">, сальмонеллез, </w:t>
      </w:r>
      <w:proofErr w:type="spellStart"/>
      <w:r>
        <w:rPr>
          <w:color w:val="000000"/>
          <w:sz w:val="24"/>
          <w:szCs w:val="24"/>
        </w:rPr>
        <w:t>эшерихиозы</w:t>
      </w:r>
      <w:proofErr w:type="spellEnd"/>
      <w:r>
        <w:rPr>
          <w:color w:val="000000"/>
          <w:sz w:val="24"/>
          <w:szCs w:val="24"/>
        </w:rPr>
        <w:t xml:space="preserve">, кишечный иерсиниоз, псевдотуберкулез, кампилобактериоз, ОКИ, вызванные УПМ, холера, вирусные диареи, брюшной тиф. Этиологические и эпидемиологические особенности на современном этапе, группы риска. Патогенез. Классификация. </w:t>
      </w:r>
      <w:proofErr w:type="gramStart"/>
      <w:r>
        <w:rPr>
          <w:color w:val="000000"/>
          <w:sz w:val="24"/>
          <w:szCs w:val="24"/>
        </w:rPr>
        <w:t>Клинические  особенности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в возрастном аспекте. Диагностика и дифференциальная диагностика. Лечение, реабилитация </w:t>
      </w:r>
      <w:proofErr w:type="spellStart"/>
      <w:r>
        <w:rPr>
          <w:bCs/>
          <w:color w:val="000000"/>
          <w:sz w:val="24"/>
          <w:szCs w:val="24"/>
        </w:rPr>
        <w:t>реконвалесцентов</w:t>
      </w:r>
      <w:proofErr w:type="spellEnd"/>
      <w:r>
        <w:rPr>
          <w:bCs/>
          <w:color w:val="000000"/>
          <w:sz w:val="24"/>
          <w:szCs w:val="24"/>
        </w:rPr>
        <w:t>. Специфическая и неспецифическая профилактика. Противоэпидемические мероприятия в очаге.</w:t>
      </w:r>
    </w:p>
    <w:p w:rsidR="009B5F15" w:rsidRDefault="00000000">
      <w:pPr>
        <w:shd w:val="clear" w:color="auto" w:fill="FFFFFF"/>
        <w:tabs>
          <w:tab w:val="left" w:pos="993"/>
        </w:tabs>
        <w:snapToGrid w:val="0"/>
        <w:spacing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Раздел 4: </w:t>
      </w:r>
      <w:r>
        <w:rPr>
          <w:bCs/>
          <w:color w:val="000000"/>
          <w:sz w:val="24"/>
          <w:szCs w:val="24"/>
        </w:rPr>
        <w:t xml:space="preserve">ВИЧ-инфекция у детей. Этиология, эпидемиология, группы риска, патогенез, классификация, клиника, диагностика, дифференциальная диагностика, лечение, профилактика. </w:t>
      </w:r>
    </w:p>
    <w:p w:rsidR="009B5F15" w:rsidRDefault="00000000">
      <w:pPr>
        <w:shd w:val="clear" w:color="auto" w:fill="FFFFFF"/>
        <w:tabs>
          <w:tab w:val="left" w:pos="993"/>
        </w:tabs>
        <w:snapToGrid w:val="0"/>
        <w:spacing w:after="0" w:line="240" w:lineRule="auto"/>
        <w:jc w:val="both"/>
      </w:pPr>
      <w:r>
        <w:rPr>
          <w:b/>
          <w:bCs/>
          <w:color w:val="000000"/>
          <w:sz w:val="24"/>
          <w:szCs w:val="24"/>
        </w:rPr>
        <w:t>Раздел 5:</w:t>
      </w:r>
      <w:r>
        <w:rPr>
          <w:bCs/>
          <w:color w:val="000000"/>
          <w:sz w:val="24"/>
          <w:szCs w:val="24"/>
        </w:rPr>
        <w:t xml:space="preserve"> Оппортунистические инфекции: </w:t>
      </w:r>
      <w:proofErr w:type="spellStart"/>
      <w:r>
        <w:rPr>
          <w:bCs/>
          <w:color w:val="000000"/>
          <w:sz w:val="24"/>
          <w:szCs w:val="24"/>
        </w:rPr>
        <w:t>герпесвирусные</w:t>
      </w:r>
      <w:proofErr w:type="spellEnd"/>
      <w:r>
        <w:rPr>
          <w:bCs/>
          <w:color w:val="000000"/>
          <w:sz w:val="24"/>
          <w:szCs w:val="24"/>
        </w:rPr>
        <w:t xml:space="preserve"> инфекции, </w:t>
      </w:r>
      <w:proofErr w:type="spellStart"/>
      <w:r>
        <w:rPr>
          <w:bCs/>
          <w:color w:val="000000"/>
          <w:sz w:val="24"/>
          <w:szCs w:val="24"/>
        </w:rPr>
        <w:t>хламидийная</w:t>
      </w:r>
      <w:proofErr w:type="spellEnd"/>
      <w:r>
        <w:rPr>
          <w:bCs/>
          <w:color w:val="000000"/>
          <w:sz w:val="24"/>
          <w:szCs w:val="24"/>
        </w:rPr>
        <w:t xml:space="preserve">, </w:t>
      </w:r>
      <w:proofErr w:type="spellStart"/>
      <w:r>
        <w:rPr>
          <w:bCs/>
          <w:color w:val="000000"/>
          <w:sz w:val="24"/>
          <w:szCs w:val="24"/>
        </w:rPr>
        <w:t>микоплазменная</w:t>
      </w:r>
      <w:proofErr w:type="spellEnd"/>
      <w:r>
        <w:rPr>
          <w:bCs/>
          <w:color w:val="000000"/>
          <w:sz w:val="24"/>
          <w:szCs w:val="24"/>
        </w:rPr>
        <w:t xml:space="preserve"> инфекции, токсоплазмоз, кандидоз, пневмоцистоз. Этиологические и эпидемиологические особенности течения инфекционного процесса на современном этапе, группы риска. Патогенез. Классификация. Клинические проявления в разных возрастных группах. </w:t>
      </w:r>
      <w:proofErr w:type="gramStart"/>
      <w:r>
        <w:rPr>
          <w:bCs/>
          <w:color w:val="000000"/>
          <w:sz w:val="24"/>
          <w:szCs w:val="24"/>
        </w:rPr>
        <w:t>Клиническая,  лабораторная</w:t>
      </w:r>
      <w:proofErr w:type="gramEnd"/>
      <w:r>
        <w:rPr>
          <w:bCs/>
          <w:color w:val="000000"/>
          <w:sz w:val="24"/>
          <w:szCs w:val="24"/>
        </w:rPr>
        <w:t xml:space="preserve"> и дифференциальная диагностика. Этапное лечение, профилактика и проведение противоэпидемических мероприятий в очаге.</w:t>
      </w:r>
    </w:p>
    <w:p w:rsidR="009B5F15" w:rsidRDefault="00000000">
      <w:pPr>
        <w:shd w:val="clear" w:color="auto" w:fill="FFFFFF"/>
        <w:tabs>
          <w:tab w:val="left" w:pos="993"/>
        </w:tabs>
        <w:snapToGrid w:val="0"/>
        <w:spacing w:after="0" w:line="240" w:lineRule="auto"/>
        <w:jc w:val="both"/>
      </w:pPr>
      <w:r>
        <w:rPr>
          <w:b/>
          <w:bCs/>
          <w:color w:val="000000"/>
          <w:sz w:val="24"/>
          <w:szCs w:val="24"/>
        </w:rPr>
        <w:t>Раздел 6:</w:t>
      </w:r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Нейроинфекции</w:t>
      </w:r>
      <w:proofErr w:type="spellEnd"/>
      <w:r>
        <w:rPr>
          <w:bCs/>
          <w:color w:val="000000"/>
          <w:sz w:val="24"/>
          <w:szCs w:val="24"/>
        </w:rPr>
        <w:t xml:space="preserve"> у детей: менингококковая инфекция, гнойные и серозные менингиты, полиомиелит, заболевания, протекающие с синдромом острого вялого паралича. Этиологические и эпидемиологические особенности течения инфекционного процесса на современном этапе, группы риска. Патогенез. Классификация. Клинические проявления в разных возрастных группах. </w:t>
      </w:r>
      <w:proofErr w:type="gramStart"/>
      <w:r>
        <w:rPr>
          <w:bCs/>
          <w:color w:val="000000"/>
          <w:sz w:val="24"/>
          <w:szCs w:val="24"/>
        </w:rPr>
        <w:t>Клиническая,  лабораторная</w:t>
      </w:r>
      <w:proofErr w:type="gramEnd"/>
      <w:r>
        <w:rPr>
          <w:bCs/>
          <w:color w:val="000000"/>
          <w:sz w:val="24"/>
          <w:szCs w:val="24"/>
        </w:rPr>
        <w:t xml:space="preserve"> и дифференциальная диагностика. Этапное лечение, реабилитация </w:t>
      </w:r>
      <w:proofErr w:type="spellStart"/>
      <w:r>
        <w:rPr>
          <w:bCs/>
          <w:color w:val="000000"/>
          <w:sz w:val="24"/>
          <w:szCs w:val="24"/>
        </w:rPr>
        <w:t>реконвалесцентов</w:t>
      </w:r>
      <w:proofErr w:type="spellEnd"/>
      <w:r>
        <w:rPr>
          <w:bCs/>
          <w:color w:val="000000"/>
          <w:sz w:val="24"/>
          <w:szCs w:val="24"/>
        </w:rPr>
        <w:t>. Профилактика и проведение противоэпидемических мероприятий в очаге.</w:t>
      </w:r>
    </w:p>
    <w:p w:rsidR="009B5F15" w:rsidRDefault="00000000">
      <w:pPr>
        <w:shd w:val="clear" w:color="auto" w:fill="FFFFFF"/>
        <w:tabs>
          <w:tab w:val="left" w:pos="993"/>
        </w:tabs>
        <w:snapToGrid w:val="0"/>
        <w:spacing w:after="0" w:line="240" w:lineRule="auto"/>
        <w:jc w:val="both"/>
      </w:pPr>
      <w:r>
        <w:rPr>
          <w:b/>
          <w:bCs/>
          <w:color w:val="000000"/>
          <w:sz w:val="24"/>
          <w:szCs w:val="24"/>
        </w:rPr>
        <w:t>Раздел 7:</w:t>
      </w:r>
      <w:r>
        <w:rPr>
          <w:bCs/>
          <w:color w:val="000000"/>
          <w:sz w:val="24"/>
          <w:szCs w:val="24"/>
        </w:rPr>
        <w:t xml:space="preserve"> Вирусные гепатиты у детей: гепатиты А, В, С, D, Е. Хронические вирусные гепатиты. Этиологические и эпидемиологические особенности течения инфекционного процесса на современном этапе, группы риска. Патогенез. Классификация. Клинические проявления в разных </w:t>
      </w:r>
      <w:r>
        <w:rPr>
          <w:bCs/>
          <w:color w:val="000000"/>
          <w:sz w:val="24"/>
          <w:szCs w:val="24"/>
        </w:rPr>
        <w:lastRenderedPageBreak/>
        <w:t xml:space="preserve">возрастных группах. </w:t>
      </w:r>
      <w:proofErr w:type="gramStart"/>
      <w:r>
        <w:rPr>
          <w:bCs/>
          <w:color w:val="000000"/>
          <w:sz w:val="24"/>
          <w:szCs w:val="24"/>
        </w:rPr>
        <w:t>Клиническая,  лабораторная</w:t>
      </w:r>
      <w:proofErr w:type="gramEnd"/>
      <w:r>
        <w:rPr>
          <w:bCs/>
          <w:color w:val="000000"/>
          <w:sz w:val="24"/>
          <w:szCs w:val="24"/>
        </w:rPr>
        <w:t xml:space="preserve"> и дифференциальная диагностика. Этапное лечение, реабилитация </w:t>
      </w:r>
      <w:proofErr w:type="spellStart"/>
      <w:r>
        <w:rPr>
          <w:bCs/>
          <w:color w:val="000000"/>
          <w:sz w:val="24"/>
          <w:szCs w:val="24"/>
        </w:rPr>
        <w:t>реконвалесцентов</w:t>
      </w:r>
      <w:proofErr w:type="spellEnd"/>
      <w:r>
        <w:rPr>
          <w:bCs/>
          <w:color w:val="000000"/>
          <w:sz w:val="24"/>
          <w:szCs w:val="24"/>
        </w:rPr>
        <w:t>. Профилактика и проведение противоэпидемических мероприятий в очаге.</w:t>
      </w:r>
    </w:p>
    <w:p w:rsidR="009B5F15" w:rsidRDefault="00000000">
      <w:pPr>
        <w:shd w:val="clear" w:color="auto" w:fill="FFFFFF"/>
        <w:tabs>
          <w:tab w:val="left" w:pos="993"/>
        </w:tabs>
        <w:snapToGrid w:val="0"/>
        <w:spacing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Раздел 8: </w:t>
      </w:r>
      <w:r>
        <w:rPr>
          <w:bCs/>
          <w:color w:val="000000"/>
          <w:sz w:val="24"/>
          <w:szCs w:val="24"/>
        </w:rPr>
        <w:t xml:space="preserve">Природно-очаговые и зоонозные инфекции </w:t>
      </w:r>
      <w:proofErr w:type="gramStart"/>
      <w:r>
        <w:rPr>
          <w:bCs/>
          <w:color w:val="000000"/>
          <w:sz w:val="24"/>
          <w:szCs w:val="24"/>
        </w:rPr>
        <w:t>–  м</w:t>
      </w:r>
      <w:r>
        <w:rPr>
          <w:rFonts w:eastAsia="Times New Roman"/>
          <w:bCs/>
          <w:color w:val="000000"/>
          <w:sz w:val="24"/>
          <w:szCs w:val="24"/>
        </w:rPr>
        <w:t>алярия</w:t>
      </w:r>
      <w:proofErr w:type="gramEnd"/>
      <w:r>
        <w:rPr>
          <w:rFonts w:eastAsia="Times New Roman"/>
          <w:bCs/>
          <w:color w:val="000000"/>
          <w:sz w:val="24"/>
          <w:szCs w:val="24"/>
        </w:rPr>
        <w:t xml:space="preserve">, КГЛ. ЛЗН. лихорадка Эбола, лептоспироз, бруцеллез, лейшманиозы. Этиологические и эпидемиологические особенности течения инфекционного процесса на современном этапе, группы риска. Патогенез. Классификация. Клинические проявления в разных возрастных группах. </w:t>
      </w:r>
      <w:proofErr w:type="gramStart"/>
      <w:r>
        <w:rPr>
          <w:rFonts w:eastAsia="Times New Roman"/>
          <w:bCs/>
          <w:color w:val="000000"/>
          <w:sz w:val="24"/>
          <w:szCs w:val="24"/>
        </w:rPr>
        <w:t>Клиническая,  лабораторная</w:t>
      </w:r>
      <w:proofErr w:type="gramEnd"/>
      <w:r>
        <w:rPr>
          <w:rFonts w:eastAsia="Times New Roman"/>
          <w:bCs/>
          <w:color w:val="000000"/>
          <w:sz w:val="24"/>
          <w:szCs w:val="24"/>
        </w:rPr>
        <w:t xml:space="preserve"> и дифференциальная диагностика. Этапное лечение, реабилитация </w:t>
      </w:r>
      <w:proofErr w:type="spellStart"/>
      <w:r>
        <w:rPr>
          <w:rFonts w:eastAsia="Times New Roman"/>
          <w:bCs/>
          <w:color w:val="000000"/>
          <w:sz w:val="24"/>
          <w:szCs w:val="24"/>
        </w:rPr>
        <w:t>реконвалесцентов</w:t>
      </w:r>
      <w:proofErr w:type="spellEnd"/>
      <w:r>
        <w:rPr>
          <w:rFonts w:eastAsia="Times New Roman"/>
          <w:bCs/>
          <w:color w:val="000000"/>
          <w:sz w:val="24"/>
          <w:szCs w:val="24"/>
        </w:rPr>
        <w:t>. Профилактика и проведение противоэпидемических мероприятий в очаге.</w:t>
      </w:r>
    </w:p>
    <w:p w:rsidR="009B5F15" w:rsidRDefault="00000000">
      <w:pPr>
        <w:shd w:val="clear" w:color="auto" w:fill="FFFFFF"/>
        <w:tabs>
          <w:tab w:val="left" w:pos="993"/>
        </w:tabs>
        <w:snapToGrid w:val="0"/>
        <w:spacing w:after="0" w:line="240" w:lineRule="auto"/>
        <w:jc w:val="both"/>
      </w:pPr>
      <w:r>
        <w:rPr>
          <w:rFonts w:eastAsia="Times New Roman"/>
          <w:b/>
          <w:bCs/>
          <w:color w:val="000000"/>
          <w:sz w:val="24"/>
          <w:szCs w:val="24"/>
        </w:rPr>
        <w:t>Раздел 9:</w:t>
      </w:r>
      <w:r>
        <w:rPr>
          <w:rFonts w:eastAsia="Times New Roman"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Вакцинопрофилактика инфекционных заболеваний. Национальный календарь профилактических прививок. Календарь прививок по эпидемическим показаниям. Поствакцинальные осложнения. Вакцинация детей из групп риска.</w:t>
      </w:r>
    </w:p>
    <w:p w:rsidR="009B5F15" w:rsidRDefault="009B5F15">
      <w:pPr>
        <w:shd w:val="clear" w:color="auto" w:fill="FFFFFF"/>
        <w:tabs>
          <w:tab w:val="left" w:pos="993"/>
        </w:tabs>
        <w:snapToGrid w:val="0"/>
        <w:spacing w:after="0" w:line="240" w:lineRule="auto"/>
        <w:jc w:val="both"/>
        <w:rPr>
          <w:sz w:val="24"/>
          <w:szCs w:val="24"/>
        </w:rPr>
      </w:pPr>
    </w:p>
    <w:p w:rsidR="009B5F15" w:rsidRDefault="009B5F15">
      <w:pPr>
        <w:shd w:val="clear" w:color="auto" w:fill="FFFFFF"/>
        <w:tabs>
          <w:tab w:val="left" w:pos="993"/>
        </w:tabs>
        <w:snapToGrid w:val="0"/>
        <w:spacing w:after="0" w:line="240" w:lineRule="auto"/>
        <w:ind w:left="993" w:hanging="426"/>
        <w:jc w:val="both"/>
        <w:rPr>
          <w:color w:val="000000"/>
          <w:sz w:val="24"/>
          <w:szCs w:val="24"/>
        </w:rPr>
      </w:pPr>
    </w:p>
    <w:p w:rsidR="009B5F15" w:rsidRDefault="009B5F15">
      <w:pPr>
        <w:pStyle w:val="Default"/>
        <w:tabs>
          <w:tab w:val="left" w:pos="993"/>
        </w:tabs>
        <w:ind w:left="993" w:hanging="426"/>
        <w:jc w:val="both"/>
      </w:pPr>
    </w:p>
    <w:sectPr w:rsidR="009B5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777" w:left="1134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0F1C" w:rsidRDefault="00670F1C">
      <w:pPr>
        <w:spacing w:after="0" w:line="240" w:lineRule="auto"/>
      </w:pPr>
      <w:r>
        <w:separator/>
      </w:r>
    </w:p>
  </w:endnote>
  <w:endnote w:type="continuationSeparator" w:id="0">
    <w:p w:rsidR="00670F1C" w:rsidRDefault="0067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;Arial Unicode MS">
    <w:panose1 w:val="020B0604020202020204"/>
    <w:charset w:val="00"/>
    <w:family w:val="roman"/>
    <w:notTrueType/>
    <w:pitch w:val="default"/>
  </w:font>
  <w:font w:name="Liberation Sans;Arial">
    <w:panose1 w:val="020B0604020202020204"/>
    <w:charset w:val="00"/>
    <w:family w:val="roman"/>
    <w:notTrueType/>
    <w:pitch w:val="default"/>
  </w:font>
  <w:font w:name="Noto Sans CJK SC Regular;Times">
    <w:panose1 w:val="020B0604020202020204"/>
    <w:charset w:val="00"/>
    <w:family w:val="roman"/>
    <w:notTrueType/>
    <w:pitch w:val="default"/>
  </w:font>
  <w:font w:name="FreeSans;Times New Roman">
    <w:altName w:val="Cambria"/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3DC" w:rsidRDefault="00A623D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5F15" w:rsidRDefault="00000000">
    <w:pPr>
      <w:pStyle w:val="af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:rsidR="009B5F15" w:rsidRDefault="009B5F1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5F15" w:rsidRDefault="009B5F1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0F1C" w:rsidRDefault="00670F1C">
      <w:pPr>
        <w:spacing w:after="0" w:line="240" w:lineRule="auto"/>
      </w:pPr>
      <w:r>
        <w:separator/>
      </w:r>
    </w:p>
  </w:footnote>
  <w:footnote w:type="continuationSeparator" w:id="0">
    <w:p w:rsidR="00670F1C" w:rsidRDefault="0067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3DC" w:rsidRDefault="00A623D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3DC" w:rsidRDefault="00A623D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3DC" w:rsidRDefault="00A623D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15"/>
    <w:rsid w:val="00670F1C"/>
    <w:rsid w:val="009B5F15"/>
    <w:rsid w:val="009E3AEE"/>
    <w:rsid w:val="00A57FE5"/>
    <w:rsid w:val="00A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FC7C5"/>
  <w15:docId w15:val="{7EF0BEDE-07EE-4044-89A3-3CCC4BC2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Calibri" w:hAnsi="Times New Roman" w:cs="Times New Roman"/>
      <w:kern w:val="2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color w:val="000000"/>
      <w:sz w:val="24"/>
      <w:szCs w:val="24"/>
    </w:rPr>
  </w:style>
  <w:style w:type="character" w:customStyle="1" w:styleId="WW8Num2z0">
    <w:name w:val="WW8Num2z0"/>
    <w:qFormat/>
    <w:rPr>
      <w:bCs/>
      <w:color w:val="000000"/>
      <w:sz w:val="24"/>
      <w:szCs w:val="24"/>
    </w:rPr>
  </w:style>
  <w:style w:type="character" w:customStyle="1" w:styleId="WW8Num3z0">
    <w:name w:val="WW8Num3z0"/>
    <w:qFormat/>
    <w:rPr>
      <w:b/>
      <w:bCs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  <w:rPr>
      <w:b/>
      <w:bCs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i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3">
    <w:name w:val="Верхний колонтитул Знак"/>
    <w:qFormat/>
    <w:rPr>
      <w:rFonts w:eastAsia="Calibri"/>
      <w:kern w:val="2"/>
      <w:sz w:val="22"/>
      <w:szCs w:val="22"/>
    </w:rPr>
  </w:style>
  <w:style w:type="character" w:customStyle="1" w:styleId="a4">
    <w:name w:val="Нижний колонтитул Знак"/>
    <w:qFormat/>
    <w:rPr>
      <w:rFonts w:eastAsia="Calibri"/>
      <w:kern w:val="2"/>
      <w:sz w:val="22"/>
      <w:szCs w:val="22"/>
    </w:rPr>
  </w:style>
  <w:style w:type="character" w:customStyle="1" w:styleId="a5">
    <w:name w:val="Символ нумерации"/>
    <w:qFormat/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;Arial" w:eastAsia="Noto Sans CJK SC Regular;Times" w:hAnsi="Liberation Sans;Arial" w:cs="FreeSans;Times New Roman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;Times New Roman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">
    <w:name w:val="Указатель1"/>
    <w:basedOn w:val="a"/>
    <w:qFormat/>
    <w:pPr>
      <w:suppressLineNumbers/>
    </w:pPr>
    <w:rPr>
      <w:rFonts w:cs="FreeSans;Times New Roman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kern w:val="2"/>
      <w:lang w:bidi="ar-SA"/>
    </w:rPr>
  </w:style>
  <w:style w:type="paragraph" w:styleId="ab">
    <w:name w:val="List Paragraph"/>
    <w:basedOn w:val="a"/>
    <w:qFormat/>
    <w:pPr>
      <w:suppressAutoHyphens w:val="0"/>
      <w:ind w:left="720"/>
      <w:contextualSpacing/>
    </w:pPr>
    <w:rPr>
      <w:rFonts w:ascii="Calibri" w:eastAsia="Times New Roman" w:hAnsi="Calibri" w:cs="Calibri"/>
      <w:kern w:val="0"/>
    </w:rPr>
  </w:style>
  <w:style w:type="paragraph" w:customStyle="1" w:styleId="LO-Normal">
    <w:name w:val="LO-Normal"/>
    <w:qFormat/>
    <w:pPr>
      <w:widowControl w:val="0"/>
      <w:spacing w:after="200" w:line="276" w:lineRule="auto"/>
    </w:pPr>
    <w:rPr>
      <w:rFonts w:ascii="Times New Roman" w:eastAsia="DejaVu Sans" w:hAnsi="Times New Roman" w:cs="Calibri"/>
      <w:kern w:val="2"/>
      <w:sz w:val="22"/>
      <w:szCs w:val="22"/>
      <w:lang w:bidi="ar-SA"/>
    </w:rPr>
  </w:style>
  <w:style w:type="paragraph" w:customStyle="1" w:styleId="31">
    <w:name w:val="Основной текст с отступом 31"/>
    <w:qFormat/>
    <w:pPr>
      <w:spacing w:after="120"/>
      <w:ind w:left="283"/>
    </w:pPr>
    <w:rPr>
      <w:rFonts w:ascii="Times New Roman" w:eastAsia="Times New Roman" w:hAnsi="Times New Roman" w:cs="Times New Roman"/>
      <w:sz w:val="16"/>
      <w:szCs w:val="20"/>
      <w:lang w:bidi="ar-SA"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Иван Савчук</cp:lastModifiedBy>
  <cp:revision>3</cp:revision>
  <cp:lastPrinted>1995-11-21T17:41:00Z</cp:lastPrinted>
  <dcterms:created xsi:type="dcterms:W3CDTF">2024-03-19T10:50:00Z</dcterms:created>
  <dcterms:modified xsi:type="dcterms:W3CDTF">2024-04-09T10:58:00Z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