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1" w:rsidRDefault="009A78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8B1" w:rsidRDefault="009A78B1">
      <w:pPr>
        <w:pStyle w:val="ConsPlusNormal"/>
        <w:jc w:val="both"/>
        <w:outlineLvl w:val="0"/>
      </w:pPr>
    </w:p>
    <w:p w:rsidR="009A78B1" w:rsidRDefault="009A78B1">
      <w:pPr>
        <w:pStyle w:val="ConsPlusNormal"/>
        <w:outlineLvl w:val="0"/>
      </w:pPr>
      <w:r>
        <w:t>Зарегистрировано в Минюсте России 28 октября 2014 г. N 34493</w:t>
      </w:r>
    </w:p>
    <w:p w:rsidR="009A78B1" w:rsidRDefault="009A7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A78B1" w:rsidRDefault="009A78B1">
      <w:pPr>
        <w:pStyle w:val="ConsPlusTitle"/>
        <w:jc w:val="center"/>
      </w:pPr>
    </w:p>
    <w:p w:rsidR="009A78B1" w:rsidRDefault="009A78B1">
      <w:pPr>
        <w:pStyle w:val="ConsPlusTitle"/>
        <w:jc w:val="center"/>
      </w:pPr>
      <w:r>
        <w:t>ПРИКАЗ</w:t>
      </w:r>
    </w:p>
    <w:p w:rsidR="009A78B1" w:rsidRDefault="009A78B1">
      <w:pPr>
        <w:pStyle w:val="ConsPlusTitle"/>
        <w:jc w:val="center"/>
      </w:pPr>
      <w:r>
        <w:t>от 27 августа 2014 г. N 1141</w:t>
      </w:r>
    </w:p>
    <w:p w:rsidR="009A78B1" w:rsidRDefault="009A78B1">
      <w:pPr>
        <w:pStyle w:val="ConsPlusTitle"/>
        <w:jc w:val="center"/>
      </w:pPr>
    </w:p>
    <w:p w:rsidR="009A78B1" w:rsidRDefault="009A78B1">
      <w:pPr>
        <w:pStyle w:val="ConsPlusTitle"/>
        <w:jc w:val="center"/>
      </w:pPr>
      <w:r>
        <w:t>ОБ УТВЕРЖДЕНИИ</w:t>
      </w:r>
    </w:p>
    <w:p w:rsidR="009A78B1" w:rsidRDefault="009A78B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A78B1" w:rsidRDefault="009A78B1">
      <w:pPr>
        <w:pStyle w:val="ConsPlusTitle"/>
        <w:jc w:val="center"/>
      </w:pPr>
      <w:r>
        <w:t>ВЫСШЕГО ОБРАЗОВАНИЯ ПО СПЕЦИАЛЬНОСТИ 32.08.14 БАКТЕРИОЛОГИЯ</w:t>
      </w:r>
    </w:p>
    <w:p w:rsidR="009A78B1" w:rsidRDefault="009A78B1">
      <w:pPr>
        <w:pStyle w:val="ConsPlusTitle"/>
        <w:jc w:val="center"/>
      </w:pPr>
      <w:r>
        <w:t>(УРОВЕНЬ ПОДГОТОВКИ КАДРОВ ВЫСШЕЙ КВАЛИФИКАЦИИ)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32.08.14 Бактериология (уровень подготовки кадров высшей квалификации).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right"/>
      </w:pPr>
      <w:r>
        <w:t>Министр</w:t>
      </w:r>
    </w:p>
    <w:p w:rsidR="009A78B1" w:rsidRDefault="009A78B1">
      <w:pPr>
        <w:pStyle w:val="ConsPlusNormal"/>
        <w:jc w:val="right"/>
      </w:pPr>
      <w:r>
        <w:t>Д.В.ЛИВАНОВ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right"/>
        <w:outlineLvl w:val="0"/>
      </w:pPr>
      <w:r>
        <w:t>Приложение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right"/>
      </w:pPr>
      <w:r>
        <w:t>Утвержден</w:t>
      </w:r>
    </w:p>
    <w:p w:rsidR="009A78B1" w:rsidRDefault="009A78B1">
      <w:pPr>
        <w:pStyle w:val="ConsPlusNormal"/>
        <w:jc w:val="right"/>
      </w:pPr>
      <w:r>
        <w:t>приказом Министерства образования</w:t>
      </w:r>
    </w:p>
    <w:p w:rsidR="009A78B1" w:rsidRDefault="009A78B1">
      <w:pPr>
        <w:pStyle w:val="ConsPlusNormal"/>
        <w:jc w:val="right"/>
      </w:pPr>
      <w:r>
        <w:t>и науки Российской Федерации</w:t>
      </w:r>
    </w:p>
    <w:p w:rsidR="009A78B1" w:rsidRDefault="009A78B1">
      <w:pPr>
        <w:pStyle w:val="ConsPlusNormal"/>
        <w:jc w:val="right"/>
      </w:pPr>
      <w:r>
        <w:lastRenderedPageBreak/>
        <w:t>от 27 августа 2014 г. N 1141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9A78B1" w:rsidRDefault="009A78B1">
      <w:pPr>
        <w:pStyle w:val="ConsPlusTitle"/>
        <w:jc w:val="center"/>
      </w:pPr>
      <w:r>
        <w:t>ВЫСШЕГО ОБРАЗОВАНИЯ</w:t>
      </w:r>
    </w:p>
    <w:p w:rsidR="009A78B1" w:rsidRDefault="009A78B1">
      <w:pPr>
        <w:pStyle w:val="ConsPlusTitle"/>
        <w:jc w:val="center"/>
      </w:pPr>
    </w:p>
    <w:p w:rsidR="009A78B1" w:rsidRDefault="009A78B1">
      <w:pPr>
        <w:pStyle w:val="ConsPlusTitle"/>
        <w:jc w:val="center"/>
      </w:pPr>
      <w:r>
        <w:t>УРОВЕНЬ ВЫСШЕГО ОБРАЗОВАНИЯ</w:t>
      </w:r>
    </w:p>
    <w:p w:rsidR="009A78B1" w:rsidRDefault="009A78B1">
      <w:pPr>
        <w:pStyle w:val="ConsPlusTitle"/>
        <w:jc w:val="center"/>
      </w:pPr>
      <w:r>
        <w:t>ПОДГОТОВКА КАДРОВ ВЫСШЕЙ КВАЛИФИКАЦИИ</w:t>
      </w:r>
    </w:p>
    <w:p w:rsidR="009A78B1" w:rsidRDefault="009A78B1">
      <w:pPr>
        <w:pStyle w:val="ConsPlusTitle"/>
        <w:jc w:val="center"/>
      </w:pPr>
    </w:p>
    <w:p w:rsidR="009A78B1" w:rsidRDefault="009A78B1">
      <w:pPr>
        <w:pStyle w:val="ConsPlusTitle"/>
        <w:jc w:val="center"/>
      </w:pPr>
      <w:r>
        <w:t>СПЕЦИАЛЬНОСТЬ</w:t>
      </w:r>
    </w:p>
    <w:p w:rsidR="009A78B1" w:rsidRDefault="009A78B1">
      <w:pPr>
        <w:pStyle w:val="ConsPlusTitle"/>
        <w:jc w:val="center"/>
      </w:pPr>
      <w:r>
        <w:t>32.08.14 БАКТЕРИОЛОГИЯ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I. ОБЛАСТЬ ПРИМЕНЕНИЯ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32.08.14 Бактериология (далее соответственно - программа ординатуры, специальность).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II. ИСПОЛЬЗУЕМЫЕ СОКРАЩЕНИЯ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 УК - универсальные компетенции; ПК - профессиональные компетенции;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III. ХАРАКТЕРИСТИКА СПЕЦИАЛЬНОСТИ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</w:t>
      </w:r>
      <w:r>
        <w:lastRenderedPageBreak/>
        <w:t>том числе ускоренному обучению.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A78B1" w:rsidRDefault="009A78B1">
      <w:pPr>
        <w:pStyle w:val="ConsPlusNormal"/>
        <w:jc w:val="center"/>
      </w:pPr>
      <w:r>
        <w:t>ВЫПУСКНИКОВ, ОСВОИВШИХ ПРОГРАММУ ОРДИНАТУРЫ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физические лица (далее - человек);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среда обитания человека;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юридические лица, индивидуальные предприниматели;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производственно-технологическая деятельность;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производственно-технологическая деятельность: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осуществление бактериологических лабораторных исследований, предусмотренных для обеспечения требований санитарно-эпидемиологического благополучия населения;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проведение сбора и медико-статистического анализа информации о </w:t>
      </w:r>
      <w:r>
        <w:lastRenderedPageBreak/>
        <w:t>состоянии санитарно-эпидемиологической обстановки;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оценка состояния здоровья населения;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оценка состояния среды обитания человека;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проведение диагностических исследований различных групп населения, предусмотренных законодательством в сфере санитарно-эпидемиологического благополучия для обеспечения безопасной среды обитания человека;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гигиеническое воспитание и пропаганда здорового образа жизни;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организация санитарно-противоэпидемических (профилактических) мероприятий, в том числе в условиях чрезвычайных ситуаций;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ведение документации, предусмотренной для обеспечения санитарно-эпидемиологического благополучия населения;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</w:t>
      </w:r>
      <w:r>
        <w:lastRenderedPageBreak/>
        <w:t>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производственно-технологическая деятельность: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(ПК-1);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готовность к проведению бактериологических лабораторных исследований и интерпретации их результатов (ПК-2);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готовность к применению специализированного оборудования, предусмотренного для использования в </w:t>
      </w:r>
      <w:proofErr w:type="gramStart"/>
      <w:r>
        <w:t>профессиональной</w:t>
      </w:r>
      <w:proofErr w:type="gramEnd"/>
      <w:r>
        <w:t xml:space="preserve"> сфере (ПК-3);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 (ПК-4);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 (ПК-5);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lastRenderedPageBreak/>
        <w:t xml:space="preserve">готовность к использованию основ экономических и правовых знаний в </w:t>
      </w:r>
      <w:proofErr w:type="gramStart"/>
      <w:r>
        <w:t>профессиональной</w:t>
      </w:r>
      <w:proofErr w:type="gramEnd"/>
      <w:r>
        <w:t xml:space="preserve"> деятельности (ПК-6);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готовность к применению основных принципов управления в </w:t>
      </w:r>
      <w:proofErr w:type="gramStart"/>
      <w:r>
        <w:t>профессиональной</w:t>
      </w:r>
      <w:proofErr w:type="gramEnd"/>
      <w:r>
        <w:t xml:space="preserve"> сфере (ПК-7);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 (ПК-8).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требовании соответствующих примерных основных образовательных программ.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9A78B1" w:rsidRDefault="009A78B1">
      <w:pPr>
        <w:pStyle w:val="ConsPlusNormal"/>
        <w:spacing w:before="280"/>
        <w:ind w:firstLine="540"/>
        <w:jc w:val="both"/>
      </w:pPr>
      <w:hyperlink w:anchor="P13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A78B1" w:rsidRDefault="009A78B1">
      <w:pPr>
        <w:pStyle w:val="ConsPlusNormal"/>
        <w:spacing w:before="280"/>
        <w:ind w:firstLine="540"/>
        <w:jc w:val="both"/>
      </w:pPr>
      <w:hyperlink w:anchor="P141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9A78B1" w:rsidRDefault="009A78B1">
      <w:pPr>
        <w:pStyle w:val="ConsPlusNormal"/>
        <w:spacing w:before="280"/>
        <w:ind w:firstLine="540"/>
        <w:jc w:val="both"/>
      </w:pPr>
      <w:hyperlink w:anchor="P14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"Врач-бактериолог".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2"/>
      </w:pPr>
      <w:r>
        <w:t>Структура программы ординатуры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right"/>
      </w:pPr>
      <w:r>
        <w:t>Таблица</w:t>
      </w:r>
    </w:p>
    <w:p w:rsidR="009A78B1" w:rsidRDefault="009A78B1">
      <w:pPr>
        <w:pStyle w:val="ConsPlusNormal"/>
        <w:jc w:val="both"/>
      </w:pPr>
    </w:p>
    <w:p w:rsidR="009A78B1" w:rsidRDefault="009A78B1">
      <w:pPr>
        <w:sectPr w:rsidR="009A78B1" w:rsidSect="00093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5452"/>
        <w:gridCol w:w="2641"/>
      </w:tblGrid>
      <w:tr w:rsidR="009A78B1">
        <w:tc>
          <w:tcPr>
            <w:tcW w:w="6902" w:type="dxa"/>
            <w:gridSpan w:val="2"/>
          </w:tcPr>
          <w:p w:rsidR="009A78B1" w:rsidRDefault="009A78B1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9A78B1">
        <w:tc>
          <w:tcPr>
            <w:tcW w:w="1450" w:type="dxa"/>
          </w:tcPr>
          <w:p w:rsidR="009A78B1" w:rsidRDefault="009A78B1">
            <w:pPr>
              <w:pStyle w:val="ConsPlusNormal"/>
            </w:pPr>
            <w:bookmarkStart w:id="1" w:name="P133"/>
            <w:bookmarkEnd w:id="1"/>
            <w:r>
              <w:t>Блок 1</w:t>
            </w:r>
          </w:p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42 - 48</w:t>
            </w:r>
          </w:p>
        </w:tc>
      </w:tr>
      <w:tr w:rsidR="009A78B1">
        <w:tc>
          <w:tcPr>
            <w:tcW w:w="1450" w:type="dxa"/>
            <w:vMerge w:val="restart"/>
          </w:tcPr>
          <w:p w:rsidR="009A78B1" w:rsidRDefault="009A78B1">
            <w:pPr>
              <w:pStyle w:val="ConsPlusNormal"/>
            </w:pPr>
          </w:p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bookmarkStart w:id="2" w:name="P137"/>
            <w:bookmarkEnd w:id="2"/>
            <w:r>
              <w:t>Базовая часть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33 - 39</w:t>
            </w:r>
          </w:p>
        </w:tc>
      </w:tr>
      <w:tr w:rsidR="009A78B1">
        <w:tc>
          <w:tcPr>
            <w:tcW w:w="1450" w:type="dxa"/>
            <w:vMerge/>
          </w:tcPr>
          <w:p w:rsidR="009A78B1" w:rsidRDefault="009A78B1"/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bookmarkStart w:id="3" w:name="P139"/>
            <w:bookmarkEnd w:id="3"/>
            <w:r>
              <w:t>Вариативная часть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6 - 12</w:t>
            </w:r>
          </w:p>
        </w:tc>
      </w:tr>
      <w:tr w:rsidR="009A78B1">
        <w:tc>
          <w:tcPr>
            <w:tcW w:w="1450" w:type="dxa"/>
            <w:vMerge w:val="restart"/>
          </w:tcPr>
          <w:p w:rsidR="009A78B1" w:rsidRDefault="009A78B1">
            <w:pPr>
              <w:pStyle w:val="ConsPlusNormal"/>
            </w:pPr>
            <w:bookmarkStart w:id="4" w:name="P141"/>
            <w:bookmarkEnd w:id="4"/>
            <w:r>
              <w:t>Блок 2</w:t>
            </w:r>
          </w:p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r>
              <w:t>Практики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69 - 75</w:t>
            </w:r>
          </w:p>
        </w:tc>
      </w:tr>
      <w:tr w:rsidR="009A78B1">
        <w:tc>
          <w:tcPr>
            <w:tcW w:w="1450" w:type="dxa"/>
            <w:vMerge/>
          </w:tcPr>
          <w:p w:rsidR="009A78B1" w:rsidRDefault="009A78B1"/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r>
              <w:t>Базовая часть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60 - 66</w:t>
            </w:r>
          </w:p>
        </w:tc>
      </w:tr>
      <w:tr w:rsidR="009A78B1">
        <w:tc>
          <w:tcPr>
            <w:tcW w:w="1450" w:type="dxa"/>
            <w:vMerge/>
          </w:tcPr>
          <w:p w:rsidR="009A78B1" w:rsidRDefault="009A78B1"/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6 - 12</w:t>
            </w:r>
          </w:p>
        </w:tc>
      </w:tr>
      <w:tr w:rsidR="009A78B1">
        <w:tc>
          <w:tcPr>
            <w:tcW w:w="1450" w:type="dxa"/>
            <w:vMerge w:val="restart"/>
          </w:tcPr>
          <w:p w:rsidR="009A78B1" w:rsidRDefault="009A78B1">
            <w:pPr>
              <w:pStyle w:val="ConsPlusNormal"/>
            </w:pPr>
            <w:bookmarkStart w:id="5" w:name="P148"/>
            <w:bookmarkEnd w:id="5"/>
            <w:r>
              <w:t>Блок 3</w:t>
            </w:r>
          </w:p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3</w:t>
            </w:r>
          </w:p>
        </w:tc>
      </w:tr>
      <w:tr w:rsidR="009A78B1">
        <w:tc>
          <w:tcPr>
            <w:tcW w:w="1450" w:type="dxa"/>
            <w:vMerge/>
          </w:tcPr>
          <w:p w:rsidR="009A78B1" w:rsidRDefault="009A78B1"/>
        </w:tc>
        <w:tc>
          <w:tcPr>
            <w:tcW w:w="5452" w:type="dxa"/>
          </w:tcPr>
          <w:p w:rsidR="009A78B1" w:rsidRDefault="009A78B1">
            <w:pPr>
              <w:pStyle w:val="ConsPlusNormal"/>
            </w:pPr>
            <w:r>
              <w:t>Базовая часть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3</w:t>
            </w:r>
          </w:p>
        </w:tc>
      </w:tr>
      <w:tr w:rsidR="009A78B1">
        <w:tc>
          <w:tcPr>
            <w:tcW w:w="6902" w:type="dxa"/>
            <w:gridSpan w:val="2"/>
          </w:tcPr>
          <w:p w:rsidR="009A78B1" w:rsidRDefault="009A78B1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641" w:type="dxa"/>
          </w:tcPr>
          <w:p w:rsidR="009A78B1" w:rsidRDefault="009A78B1">
            <w:pPr>
              <w:pStyle w:val="ConsPlusNormal"/>
              <w:jc w:val="center"/>
            </w:pPr>
            <w:r>
              <w:t>120</w:t>
            </w:r>
          </w:p>
        </w:tc>
      </w:tr>
    </w:tbl>
    <w:p w:rsidR="009A78B1" w:rsidRDefault="009A78B1">
      <w:pPr>
        <w:sectPr w:rsidR="009A78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13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6.6. В </w:t>
      </w:r>
      <w:hyperlink w:anchor="P141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стационарная;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выездная.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6.7. В </w:t>
      </w:r>
      <w:hyperlink w:anchor="P14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39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133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11,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 xml:space="preserve">лаборатории, оснащенные специализированным оборудованием (микроскоп, термостат, автоклав, набор химической посуды, массоизмерительное оборудование, гомогенизатор, центрифуга, сушильный шкаф, ареометр, бокс-штатив, груша резиновая, деионизатор, диспенсор, дистиллятор, дозатор с наконечниками, колориметр, pH-метр, ламинарный бокс, мерная пипетка, морозильник, пипетка Пастеровская, планшет для </w:t>
      </w:r>
      <w:r>
        <w:lastRenderedPageBreak/>
        <w:t>микротитрования, питательные среды, необходимые для культивирования микроорганизмов, принадлежность для забора биоматериала и смывов с поверхности, пробоотборник, спектрофотометр, титратор, фотоэлектроколориметр, холодильник, чашка Петри, шейкер</w:t>
      </w:r>
      <w:proofErr w:type="gramEnd"/>
      <w:r>
        <w:t>, шпатель и петля микробиологические)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9A78B1" w:rsidRDefault="009A78B1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jc w:val="both"/>
      </w:pPr>
    </w:p>
    <w:p w:rsidR="009A78B1" w:rsidRDefault="009A7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6" w:name="_GoBack"/>
      <w:bookmarkEnd w:id="6"/>
    </w:p>
    <w:sectPr w:rsidR="009859C4" w:rsidSect="000312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1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9A78B1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7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A7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7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A7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A14AEDDD575FE225CDCAA3840E78742003C2BACF9634DC52EF67E3288B69346E03D81185E42F4E2E6576CB32E59908B13FA8E0196114FM1o6N" TargetMode="External"/><Relationship Id="rId13" Type="http://schemas.openxmlformats.org/officeDocument/2006/relationships/hyperlink" Target="consultantplus://offline/ref=DEDA14AEDDD575FE225CDCAA3840E78740023E2EAAFB634DC52EF67E3288B69346E03D81185F42FCEBE6576CB32E59908B13FA8E0196114FM1o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A14AEDDD575FE225CDCAA3840E7874006382BACFB634DC52EF67E3288B69346E03D81185F42FDE2E6576CB32E59908B13FA8E0196114FM1o6N" TargetMode="External"/><Relationship Id="rId12" Type="http://schemas.openxmlformats.org/officeDocument/2006/relationships/hyperlink" Target="consultantplus://offline/ref=DEDA14AEDDD575FE225CDCAA3840E787430B3A23AEF4634DC52EF67E3288B69354E0658D195F5CFCEBF3013DF6M7o2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A14AEDDD575FE225CDCAA3840E787430B3B2CAAF5634DC52EF67E3288B69346E03D81185F42F9E9E6576CB32E59908B13FA8E0196114FM1o6N" TargetMode="External"/><Relationship Id="rId11" Type="http://schemas.openxmlformats.org/officeDocument/2006/relationships/hyperlink" Target="consultantplus://offline/ref=DEDA14AEDDD575FE225CDCAA3840E78742013E22A3FD634DC52EF67E3288B69354E0658D195F5CFCEBF3013DF6M7o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DA14AEDDD575FE225CDCAA3840E78740063E2BABFD634DC52EF67E3288B69346E03D81185F42FCE9E6576CB32E59908B13FA8E0196114FM1o6N" TargetMode="External"/><Relationship Id="rId10" Type="http://schemas.openxmlformats.org/officeDocument/2006/relationships/hyperlink" Target="consultantplus://offline/ref=DEDA14AEDDD575FE225CDCAA3840E78740063D23ACF4634DC52EF67E3288B69354E0658D195F5CFCEBF3013DF6M7o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A14AEDDD575FE225CDCAA3840E78742003C2BACF9634DC52EF67E3288B69346E03D81185E43FDEBE6576CB32E59908B13FA8E0196114FM1o6N" TargetMode="External"/><Relationship Id="rId14" Type="http://schemas.openxmlformats.org/officeDocument/2006/relationships/hyperlink" Target="consultantplus://offline/ref=DEDA14AEDDD575FE225CDCAA3840E7874001342DAEF9634DC52EF67E3288B69354E0658D195F5CFCEBF3013DF6M7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2019-10-10T13:40:00Z</dcterms:created>
  <dcterms:modified xsi:type="dcterms:W3CDTF">2019-10-10T13:40:00Z</dcterms:modified>
</cp:coreProperties>
</file>