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2B" w:rsidRDefault="007555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552B" w:rsidRDefault="0075552B">
      <w:pPr>
        <w:pStyle w:val="ConsPlusNormal"/>
        <w:jc w:val="both"/>
        <w:outlineLvl w:val="0"/>
      </w:pPr>
    </w:p>
    <w:p w:rsidR="0075552B" w:rsidRDefault="0075552B">
      <w:pPr>
        <w:pStyle w:val="ConsPlusNormal"/>
        <w:jc w:val="both"/>
        <w:outlineLvl w:val="0"/>
      </w:pPr>
      <w:r>
        <w:t>Зарегистрировано в Минюсте России 23 октября 2014 г. N 34421</w:t>
      </w:r>
    </w:p>
    <w:p w:rsidR="0075552B" w:rsidRDefault="00755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5552B" w:rsidRDefault="0075552B">
      <w:pPr>
        <w:pStyle w:val="ConsPlusTitle"/>
        <w:jc w:val="center"/>
      </w:pPr>
    </w:p>
    <w:p w:rsidR="0075552B" w:rsidRDefault="0075552B">
      <w:pPr>
        <w:pStyle w:val="ConsPlusTitle"/>
        <w:jc w:val="center"/>
      </w:pPr>
      <w:r>
        <w:t>ПРИКАЗ</w:t>
      </w:r>
    </w:p>
    <w:p w:rsidR="0075552B" w:rsidRDefault="0075552B">
      <w:pPr>
        <w:pStyle w:val="ConsPlusTitle"/>
        <w:jc w:val="center"/>
      </w:pPr>
      <w:r>
        <w:t>от 27 августа 2014 г. N 1128</w:t>
      </w:r>
    </w:p>
    <w:p w:rsidR="0075552B" w:rsidRDefault="0075552B">
      <w:pPr>
        <w:pStyle w:val="ConsPlusTitle"/>
        <w:jc w:val="center"/>
      </w:pPr>
    </w:p>
    <w:p w:rsidR="0075552B" w:rsidRDefault="0075552B">
      <w:pPr>
        <w:pStyle w:val="ConsPlusTitle"/>
        <w:jc w:val="center"/>
      </w:pPr>
      <w:r>
        <w:t>ОБ УТВЕРЖДЕНИИ</w:t>
      </w:r>
    </w:p>
    <w:p w:rsidR="0075552B" w:rsidRDefault="0075552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5552B" w:rsidRDefault="0075552B">
      <w:pPr>
        <w:pStyle w:val="ConsPlusTitle"/>
        <w:jc w:val="center"/>
      </w:pPr>
      <w:r>
        <w:t>ВЫСШЕГО ОБРАЗОВАНИЯ ПО СПЕЦИАЛЬНОСТИ 31.08.77 ОРТОДОНТИЯ</w:t>
      </w:r>
    </w:p>
    <w:p w:rsidR="0075552B" w:rsidRDefault="0075552B">
      <w:pPr>
        <w:pStyle w:val="ConsPlusTitle"/>
        <w:jc w:val="center"/>
      </w:pPr>
      <w:r>
        <w:t>(УРОВЕНЬ ПОДГОТОВКИ КАДРОВ ВЫСШЕЙ КВАЛИФИКАЦИИ)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31.08.77 Ортодонтия (уровень подготовки кадров высшей квалификации).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right"/>
      </w:pPr>
      <w:r>
        <w:t>Министр</w:t>
      </w:r>
    </w:p>
    <w:p w:rsidR="0075552B" w:rsidRDefault="0075552B">
      <w:pPr>
        <w:pStyle w:val="ConsPlusNormal"/>
        <w:jc w:val="right"/>
      </w:pPr>
      <w:r>
        <w:t>Д.В.ЛИВАНОВ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right"/>
        <w:outlineLvl w:val="0"/>
      </w:pPr>
      <w:r>
        <w:t>Приложение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right"/>
      </w:pPr>
      <w:r>
        <w:t>Утвержден</w:t>
      </w:r>
    </w:p>
    <w:p w:rsidR="0075552B" w:rsidRDefault="0075552B">
      <w:pPr>
        <w:pStyle w:val="ConsPlusNormal"/>
        <w:jc w:val="right"/>
      </w:pPr>
      <w:r>
        <w:t>приказом Министерства образования</w:t>
      </w:r>
    </w:p>
    <w:p w:rsidR="0075552B" w:rsidRDefault="0075552B">
      <w:pPr>
        <w:pStyle w:val="ConsPlusNormal"/>
        <w:jc w:val="right"/>
      </w:pPr>
      <w:r>
        <w:t>и науки Российской Федерации</w:t>
      </w:r>
    </w:p>
    <w:p w:rsidR="0075552B" w:rsidRDefault="0075552B">
      <w:pPr>
        <w:pStyle w:val="ConsPlusNormal"/>
        <w:jc w:val="right"/>
      </w:pPr>
      <w:r>
        <w:lastRenderedPageBreak/>
        <w:t>от 27 августа 2014 г. N 1128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75552B" w:rsidRDefault="0075552B">
      <w:pPr>
        <w:pStyle w:val="ConsPlusTitle"/>
        <w:jc w:val="center"/>
      </w:pPr>
      <w:r>
        <w:t>ВЫСШЕГО ОБРАЗОВАНИЯ</w:t>
      </w:r>
    </w:p>
    <w:p w:rsidR="0075552B" w:rsidRDefault="0075552B">
      <w:pPr>
        <w:pStyle w:val="ConsPlusTitle"/>
        <w:jc w:val="center"/>
      </w:pPr>
    </w:p>
    <w:p w:rsidR="0075552B" w:rsidRDefault="0075552B">
      <w:pPr>
        <w:pStyle w:val="ConsPlusTitle"/>
        <w:jc w:val="center"/>
      </w:pPr>
      <w:r>
        <w:t>УРОВЕНЬ ВЫСШЕГО ОБРАЗОВАНИЯ</w:t>
      </w:r>
    </w:p>
    <w:p w:rsidR="0075552B" w:rsidRDefault="0075552B">
      <w:pPr>
        <w:pStyle w:val="ConsPlusTitle"/>
        <w:jc w:val="center"/>
      </w:pPr>
      <w:r>
        <w:t>ПОДГОТОВКА КАДРОВ ВЫСШЕЙ КВАЛИФИКАЦИИ</w:t>
      </w:r>
    </w:p>
    <w:p w:rsidR="0075552B" w:rsidRDefault="0075552B">
      <w:pPr>
        <w:pStyle w:val="ConsPlusTitle"/>
        <w:jc w:val="center"/>
      </w:pPr>
    </w:p>
    <w:p w:rsidR="0075552B" w:rsidRDefault="0075552B">
      <w:pPr>
        <w:pStyle w:val="ConsPlusTitle"/>
        <w:jc w:val="center"/>
      </w:pPr>
      <w:r>
        <w:t>СПЕЦИАЛЬНОСТЬ</w:t>
      </w:r>
    </w:p>
    <w:p w:rsidR="0075552B" w:rsidRDefault="0075552B">
      <w:pPr>
        <w:pStyle w:val="ConsPlusTitle"/>
        <w:jc w:val="center"/>
      </w:pPr>
      <w:r>
        <w:t>31.08.77 ОРТОДОНТИЯ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center"/>
        <w:outlineLvl w:val="1"/>
      </w:pPr>
      <w:r>
        <w:t>I. ОБЛАСТЬ ПРИМЕНЕНИЯ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31.08.77 Ортодонтия (далее соответственно - программа ординатуры, специальность).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center"/>
        <w:outlineLvl w:val="1"/>
      </w:pPr>
      <w:r>
        <w:t>II. ИСПОЛЬЗУЕМЫЕ СОКРАЩЕНИЯ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center"/>
        <w:outlineLvl w:val="1"/>
      </w:pPr>
      <w:r>
        <w:t>III. ХАРАКТЕРИСТИКА СПЕЦИАЛЬНОСТИ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3.2. Обучение по программе ординатуры в организациях осуществляется в очной форме обучения.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Объем программы ординатуры составляет 120 зачетных единиц (далее - з.е.), вне зависимости от применяемых образовательных технологий, </w:t>
      </w:r>
      <w:r>
        <w:lastRenderedPageBreak/>
        <w:t>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ординатуры: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3.4.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center"/>
        <w:outlineLvl w:val="1"/>
      </w:pPr>
      <w:r>
        <w:lastRenderedPageBreak/>
        <w:t>IV. ХАРАКТЕРИСТИКА ПРОФЕССИОНАЛЬНОЙ ДЕЯТЕЛЬНОСТИ</w:t>
      </w:r>
    </w:p>
    <w:p w:rsidR="0075552B" w:rsidRDefault="0075552B">
      <w:pPr>
        <w:pStyle w:val="ConsPlusNormal"/>
        <w:jc w:val="center"/>
      </w:pPr>
      <w:r>
        <w:t>ВЫПУСКНИКОВ, ОСВОИВШИХ ПРОГРАММУ ОРДИНАТУРЫ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население;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профилактическая;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диагностическая;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лечебная;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реабилитационная;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организационно-управленческая.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lastRenderedPageBreak/>
        <w:t>участие в проведении профилактических медицинских осмотров, диспансеризации, диспансерного наблюдения;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диагностика стоматологических заболеваний и патологических состояний пациентов;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оказание ортодонтической стоматологической помощи пациентам;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участие в оказании медицинской помощи при чрезвычайных ситуациях, в том числе участие в медицинской эвакуации;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ведение учетно-отчетной документации в медицинских организациях и ее структурных подразделениях;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lastRenderedPageBreak/>
        <w:t>организация проведения медицинской экспертизы;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участие в организации оценки качества оказания стоматологической помощи пациентам;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t xml:space="preserve">готовность к осуществлению комплекса мероприятий, направленных на </w:t>
      </w:r>
      <w:r>
        <w:lastRenderedPageBreak/>
        <w:t>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определению тактики ведения, ведению и лечению пациентов, нуждающихся в ортодонтической помощи (ПК-7);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(ПК-13).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Блок 2 "Практики", относящийся как к базовой части программы, так и к </w:t>
      </w:r>
      <w:r>
        <w:lastRenderedPageBreak/>
        <w:t>ее вариативной части.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"Врач-ортодонт".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center"/>
        <w:outlineLvl w:val="2"/>
      </w:pPr>
      <w:r>
        <w:t>Структура программы ординатуры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right"/>
      </w:pPr>
      <w:r>
        <w:t>Таблица</w:t>
      </w:r>
    </w:p>
    <w:p w:rsidR="0075552B" w:rsidRDefault="0075552B">
      <w:pPr>
        <w:pStyle w:val="ConsPlusNormal"/>
        <w:jc w:val="both"/>
      </w:pPr>
    </w:p>
    <w:p w:rsidR="0075552B" w:rsidRDefault="0075552B">
      <w:pPr>
        <w:sectPr w:rsidR="0075552B" w:rsidSect="00772A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3"/>
        <w:gridCol w:w="4934"/>
        <w:gridCol w:w="3130"/>
      </w:tblGrid>
      <w:tr w:rsidR="0075552B">
        <w:tc>
          <w:tcPr>
            <w:tcW w:w="6427" w:type="dxa"/>
            <w:gridSpan w:val="2"/>
          </w:tcPr>
          <w:p w:rsidR="0075552B" w:rsidRDefault="0075552B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75552B">
        <w:tc>
          <w:tcPr>
            <w:tcW w:w="1493" w:type="dxa"/>
          </w:tcPr>
          <w:p w:rsidR="0075552B" w:rsidRDefault="0075552B">
            <w:pPr>
              <w:pStyle w:val="ConsPlusNormal"/>
            </w:pPr>
            <w:r>
              <w:t>Блок 1</w:t>
            </w:r>
          </w:p>
        </w:tc>
        <w:tc>
          <w:tcPr>
            <w:tcW w:w="4934" w:type="dxa"/>
          </w:tcPr>
          <w:p w:rsidR="0075552B" w:rsidRDefault="0075552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42 - 48</w:t>
            </w:r>
          </w:p>
        </w:tc>
      </w:tr>
      <w:tr w:rsidR="0075552B">
        <w:tc>
          <w:tcPr>
            <w:tcW w:w="1493" w:type="dxa"/>
            <w:vMerge w:val="restart"/>
          </w:tcPr>
          <w:p w:rsidR="0075552B" w:rsidRDefault="0075552B">
            <w:pPr>
              <w:pStyle w:val="ConsPlusNormal"/>
            </w:pPr>
          </w:p>
        </w:tc>
        <w:tc>
          <w:tcPr>
            <w:tcW w:w="4934" w:type="dxa"/>
          </w:tcPr>
          <w:p w:rsidR="0075552B" w:rsidRDefault="0075552B">
            <w:pPr>
              <w:pStyle w:val="ConsPlusNormal"/>
            </w:pPr>
            <w:r>
              <w:t>Базовая часть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33 - 39</w:t>
            </w:r>
          </w:p>
        </w:tc>
      </w:tr>
      <w:tr w:rsidR="0075552B">
        <w:tc>
          <w:tcPr>
            <w:tcW w:w="1493" w:type="dxa"/>
            <w:vMerge/>
          </w:tcPr>
          <w:p w:rsidR="0075552B" w:rsidRDefault="0075552B"/>
        </w:tc>
        <w:tc>
          <w:tcPr>
            <w:tcW w:w="4934" w:type="dxa"/>
          </w:tcPr>
          <w:p w:rsidR="0075552B" w:rsidRDefault="0075552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6 - 12</w:t>
            </w:r>
          </w:p>
        </w:tc>
      </w:tr>
      <w:tr w:rsidR="0075552B">
        <w:tc>
          <w:tcPr>
            <w:tcW w:w="1493" w:type="dxa"/>
            <w:vMerge w:val="restart"/>
          </w:tcPr>
          <w:p w:rsidR="0075552B" w:rsidRDefault="0075552B">
            <w:pPr>
              <w:pStyle w:val="ConsPlusNormal"/>
            </w:pPr>
            <w:r>
              <w:t>Блок 2</w:t>
            </w:r>
          </w:p>
        </w:tc>
        <w:tc>
          <w:tcPr>
            <w:tcW w:w="4934" w:type="dxa"/>
          </w:tcPr>
          <w:p w:rsidR="0075552B" w:rsidRDefault="0075552B">
            <w:pPr>
              <w:pStyle w:val="ConsPlusNormal"/>
            </w:pPr>
            <w:r>
              <w:t>Практики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69 - 75</w:t>
            </w:r>
          </w:p>
        </w:tc>
      </w:tr>
      <w:tr w:rsidR="0075552B">
        <w:tc>
          <w:tcPr>
            <w:tcW w:w="1493" w:type="dxa"/>
            <w:vMerge/>
          </w:tcPr>
          <w:p w:rsidR="0075552B" w:rsidRDefault="0075552B"/>
        </w:tc>
        <w:tc>
          <w:tcPr>
            <w:tcW w:w="4934" w:type="dxa"/>
          </w:tcPr>
          <w:p w:rsidR="0075552B" w:rsidRDefault="0075552B">
            <w:pPr>
              <w:pStyle w:val="ConsPlusNormal"/>
            </w:pPr>
            <w:r>
              <w:t>Базовая часть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60 - 66</w:t>
            </w:r>
          </w:p>
        </w:tc>
      </w:tr>
      <w:tr w:rsidR="0075552B">
        <w:tc>
          <w:tcPr>
            <w:tcW w:w="1493" w:type="dxa"/>
            <w:vMerge/>
          </w:tcPr>
          <w:p w:rsidR="0075552B" w:rsidRDefault="0075552B"/>
        </w:tc>
        <w:tc>
          <w:tcPr>
            <w:tcW w:w="4934" w:type="dxa"/>
          </w:tcPr>
          <w:p w:rsidR="0075552B" w:rsidRDefault="0075552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6 - 12</w:t>
            </w:r>
          </w:p>
        </w:tc>
      </w:tr>
      <w:tr w:rsidR="0075552B">
        <w:tc>
          <w:tcPr>
            <w:tcW w:w="1493" w:type="dxa"/>
            <w:vMerge w:val="restart"/>
          </w:tcPr>
          <w:p w:rsidR="0075552B" w:rsidRDefault="0075552B">
            <w:pPr>
              <w:pStyle w:val="ConsPlusNormal"/>
            </w:pPr>
            <w:r>
              <w:t>Блок 3</w:t>
            </w:r>
          </w:p>
        </w:tc>
        <w:tc>
          <w:tcPr>
            <w:tcW w:w="4934" w:type="dxa"/>
          </w:tcPr>
          <w:p w:rsidR="0075552B" w:rsidRDefault="0075552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3</w:t>
            </w:r>
          </w:p>
        </w:tc>
      </w:tr>
      <w:tr w:rsidR="0075552B">
        <w:tc>
          <w:tcPr>
            <w:tcW w:w="1493" w:type="dxa"/>
            <w:vMerge/>
          </w:tcPr>
          <w:p w:rsidR="0075552B" w:rsidRDefault="0075552B"/>
        </w:tc>
        <w:tc>
          <w:tcPr>
            <w:tcW w:w="4934" w:type="dxa"/>
          </w:tcPr>
          <w:p w:rsidR="0075552B" w:rsidRDefault="0075552B">
            <w:pPr>
              <w:pStyle w:val="ConsPlusNormal"/>
            </w:pPr>
            <w:r>
              <w:t>Базовая часть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3</w:t>
            </w:r>
          </w:p>
        </w:tc>
      </w:tr>
      <w:tr w:rsidR="0075552B">
        <w:tc>
          <w:tcPr>
            <w:tcW w:w="6427" w:type="dxa"/>
            <w:gridSpan w:val="2"/>
          </w:tcPr>
          <w:p w:rsidR="0075552B" w:rsidRDefault="0075552B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130" w:type="dxa"/>
          </w:tcPr>
          <w:p w:rsidR="0075552B" w:rsidRDefault="0075552B">
            <w:pPr>
              <w:pStyle w:val="ConsPlusNormal"/>
              <w:jc w:val="center"/>
            </w:pPr>
            <w:r>
              <w:t>120</w:t>
            </w:r>
          </w:p>
        </w:tc>
      </w:tr>
    </w:tbl>
    <w:p w:rsidR="0075552B" w:rsidRDefault="0075552B">
      <w:pPr>
        <w:sectPr w:rsidR="007555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стационарная;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выездная.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Практики могут проводиться в структурных подразделениях </w:t>
      </w:r>
      <w:r>
        <w:lastRenderedPageBreak/>
        <w:t>организации.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доступ к учебным планам, рабочим программам дисциплин (модулей), </w:t>
      </w:r>
      <w:r>
        <w:lastRenderedPageBreak/>
        <w:t>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</w:t>
      </w:r>
      <w: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7.2.1. Реализация программы ординатуры обеспечивается руководящими </w:t>
      </w:r>
      <w:r>
        <w:lastRenderedPageBreak/>
        <w:t xml:space="preserve">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t>кабинеты для приема детей и подростков, оснащенные специализированным оборудованием (медицинскими изделиями) (тонометр, ростомер, толстотный циркуль, динамометр, весы, адаптометр),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proofErr w:type="gramStart"/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75552B" w:rsidRDefault="0075552B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</w:t>
      </w:r>
      <w:r>
        <w:lastRenderedPageBreak/>
        <w:t xml:space="preserve">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jc w:val="both"/>
      </w:pPr>
    </w:p>
    <w:p w:rsidR="0075552B" w:rsidRDefault="00755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1" w:name="_GoBack"/>
      <w:bookmarkEnd w:id="1"/>
    </w:p>
    <w:sectPr w:rsidR="009859C4" w:rsidSect="00EE0E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2B"/>
    <w:rsid w:val="00036EB1"/>
    <w:rsid w:val="000C7D99"/>
    <w:rsid w:val="00325DC6"/>
    <w:rsid w:val="00545F1D"/>
    <w:rsid w:val="006B64F4"/>
    <w:rsid w:val="00727379"/>
    <w:rsid w:val="0075552B"/>
    <w:rsid w:val="007B1A44"/>
    <w:rsid w:val="007B4187"/>
    <w:rsid w:val="009859C4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55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55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55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55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A965F1E6DBAF7040329C19152625FC97744A0C5A366A3E4483B1A880358A89753E88AF2D28C1CE93FAB0CC419DC89AEE6E923831DBDDBkFl3N" TargetMode="External"/><Relationship Id="rId13" Type="http://schemas.openxmlformats.org/officeDocument/2006/relationships/hyperlink" Target="consultantplus://offline/ref=000A965F1E6DBAF7040329C19152625FC87C42A8C7AE66A3E4483B1A880358A88553B086F3D39214E02AFD5D81k4l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A965F1E6DBAF7040329C19152625FCB7140A0C5A166A3E4483B1A880358A89753E88AF2D38C15E93FAB0CC419DC89AEE6E923831DBDDBkFl3N" TargetMode="External"/><Relationship Id="rId12" Type="http://schemas.openxmlformats.org/officeDocument/2006/relationships/hyperlink" Target="consultantplus://offline/ref=000A965F1E6DBAF7040329C19152625FC97646A9CAA766A3E4483B1A880358A88553B086F3D39214E02AFD5D81k4l5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0A965F1E6DBAF7040329C19152625FCB7146A0C2A766A3E4483B1A880358A89753E88AF2D38C14E23FAB0CC419DC89AEE6E923831DBDDBkFl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A965F1E6DBAF7040329C19152625FC87C43A7C3AF66A3E4483B1A880358A89753E88AF2D38C11E23FAB0CC419DC89AEE6E923831DBDDBkFl3N" TargetMode="External"/><Relationship Id="rId11" Type="http://schemas.openxmlformats.org/officeDocument/2006/relationships/hyperlink" Target="consultantplus://offline/ref=000A965F1E6DBAF7040329C19152625FCB7145A8C5AE66A3E4483B1A880358A88553B086F3D39214E02AFD5D81k4l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0A965F1E6DBAF7040329C19152625FCB764CA6C7A366A3E4483B1A880358A88553B086F3D39214E02AFD5D81k4l5N" TargetMode="External"/><Relationship Id="rId10" Type="http://schemas.openxmlformats.org/officeDocument/2006/relationships/hyperlink" Target="consultantplus://offline/ref=000A965F1E6DBAF7040320D89633370CC77347A0CBAE6CFEEE4062168A0457F78046A1DEFFD28C0BE134E15F804DkD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A965F1E6DBAF7040329C19152625FC97744A0C5A366A3E4483B1A880358A89753E88AF2D28D15E03FAB0CC419DC89AEE6E923831DBDDBkFl3N" TargetMode="External"/><Relationship Id="rId14" Type="http://schemas.openxmlformats.org/officeDocument/2006/relationships/hyperlink" Target="consultantplus://offline/ref=000A965F1E6DBAF7040329C19152625FCB7546A5C3A166A3E4483B1A880358A89753E88AF2D38C14E03FAB0CC419DC89AEE6E923831DBDDBkF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2019-10-10T13:37:00Z</dcterms:created>
  <dcterms:modified xsi:type="dcterms:W3CDTF">2019-10-10T13:37:00Z</dcterms:modified>
</cp:coreProperties>
</file>