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A7" w:rsidRDefault="00300E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EA7" w:rsidRDefault="00300EA7">
      <w:pPr>
        <w:pStyle w:val="ConsPlusNormal"/>
        <w:jc w:val="both"/>
        <w:outlineLvl w:val="0"/>
      </w:pPr>
    </w:p>
    <w:p w:rsidR="00300EA7" w:rsidRDefault="00300EA7">
      <w:pPr>
        <w:pStyle w:val="ConsPlusNormal"/>
        <w:outlineLvl w:val="0"/>
      </w:pPr>
      <w:r>
        <w:t>Зарегистрировано в Минюсте России 18 сентября 2014 г. N 34090</w:t>
      </w:r>
    </w:p>
    <w:p w:rsidR="00300EA7" w:rsidRDefault="0030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0EA7" w:rsidRDefault="00300EA7">
      <w:pPr>
        <w:pStyle w:val="ConsPlusTitle"/>
        <w:jc w:val="center"/>
      </w:pPr>
    </w:p>
    <w:p w:rsidR="00300EA7" w:rsidRDefault="00300EA7">
      <w:pPr>
        <w:pStyle w:val="ConsPlusTitle"/>
        <w:jc w:val="center"/>
      </w:pPr>
      <w:r>
        <w:t>ПРИКАЗ</w:t>
      </w:r>
    </w:p>
    <w:p w:rsidR="00300EA7" w:rsidRDefault="00300EA7">
      <w:pPr>
        <w:pStyle w:val="ConsPlusTitle"/>
        <w:jc w:val="center"/>
      </w:pPr>
      <w:r>
        <w:t>от 25 августа 2014 г. N 1070</w:t>
      </w:r>
    </w:p>
    <w:p w:rsidR="00300EA7" w:rsidRDefault="00300EA7">
      <w:pPr>
        <w:pStyle w:val="ConsPlusTitle"/>
        <w:jc w:val="center"/>
      </w:pPr>
    </w:p>
    <w:p w:rsidR="00300EA7" w:rsidRDefault="00300EA7">
      <w:pPr>
        <w:pStyle w:val="ConsPlusTitle"/>
        <w:jc w:val="center"/>
      </w:pPr>
      <w:r>
        <w:t>ОБ УТВЕРЖДЕНИИ</w:t>
      </w:r>
    </w:p>
    <w:p w:rsidR="00300EA7" w:rsidRDefault="00300EA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00EA7" w:rsidRDefault="00300EA7">
      <w:pPr>
        <w:pStyle w:val="ConsPlusTitle"/>
        <w:jc w:val="center"/>
      </w:pPr>
      <w:r>
        <w:t>ВЫСШЕГО ОБРАЗОВАНИЯ ПО СПЕЦИАЛЬНОСТИ 31.08.28</w:t>
      </w:r>
    </w:p>
    <w:p w:rsidR="00300EA7" w:rsidRDefault="00300EA7">
      <w:pPr>
        <w:pStyle w:val="ConsPlusTitle"/>
        <w:jc w:val="center"/>
      </w:pPr>
      <w:proofErr w:type="gramStart"/>
      <w:r>
        <w:t>ГАСТРОЭНТЕРОЛОГИЯ (УРОВЕНЬ ПОДГОТОВКИ КАДРОВ</w:t>
      </w:r>
      <w:proofErr w:type="gramEnd"/>
    </w:p>
    <w:p w:rsidR="00300EA7" w:rsidRDefault="00300EA7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31.08.28 Гастроэнтерология (уровень подготовки кадров высшей квалификации).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right"/>
      </w:pPr>
      <w:r>
        <w:t>Министр</w:t>
      </w:r>
    </w:p>
    <w:p w:rsidR="00300EA7" w:rsidRDefault="00300EA7">
      <w:pPr>
        <w:pStyle w:val="ConsPlusNormal"/>
        <w:jc w:val="right"/>
      </w:pPr>
      <w:r>
        <w:t>Д.В.ЛИВАНОВ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right"/>
        <w:outlineLvl w:val="0"/>
      </w:pPr>
      <w:r>
        <w:t>Приложение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right"/>
      </w:pPr>
      <w:r>
        <w:t>Утвержден</w:t>
      </w:r>
    </w:p>
    <w:p w:rsidR="00300EA7" w:rsidRDefault="00300EA7">
      <w:pPr>
        <w:pStyle w:val="ConsPlusNormal"/>
        <w:jc w:val="right"/>
      </w:pPr>
      <w:r>
        <w:t>приказом Министерства образования</w:t>
      </w:r>
    </w:p>
    <w:p w:rsidR="00300EA7" w:rsidRDefault="00300EA7">
      <w:pPr>
        <w:pStyle w:val="ConsPlusNormal"/>
        <w:jc w:val="right"/>
      </w:pPr>
      <w:r>
        <w:t>и науки Российской Федерации</w:t>
      </w:r>
    </w:p>
    <w:p w:rsidR="00300EA7" w:rsidRDefault="00300EA7">
      <w:pPr>
        <w:pStyle w:val="ConsPlusNormal"/>
        <w:jc w:val="right"/>
      </w:pPr>
      <w:r>
        <w:lastRenderedPageBreak/>
        <w:t>от 25 августа 2014 г. N 1070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300EA7" w:rsidRDefault="00300EA7">
      <w:pPr>
        <w:pStyle w:val="ConsPlusTitle"/>
        <w:jc w:val="center"/>
      </w:pPr>
      <w:r>
        <w:t>ВЫСШЕГО ОБРАЗОВАНИЯ</w:t>
      </w:r>
    </w:p>
    <w:p w:rsidR="00300EA7" w:rsidRDefault="00300EA7">
      <w:pPr>
        <w:pStyle w:val="ConsPlusTitle"/>
        <w:jc w:val="center"/>
      </w:pPr>
    </w:p>
    <w:p w:rsidR="00300EA7" w:rsidRDefault="00300EA7">
      <w:pPr>
        <w:pStyle w:val="ConsPlusTitle"/>
        <w:jc w:val="center"/>
      </w:pPr>
      <w:r>
        <w:t>УРОВЕНЬ ВЫСШЕГО ОБРАЗОВАНИЯ</w:t>
      </w:r>
    </w:p>
    <w:p w:rsidR="00300EA7" w:rsidRDefault="00300EA7">
      <w:pPr>
        <w:pStyle w:val="ConsPlusTitle"/>
        <w:jc w:val="center"/>
      </w:pPr>
      <w:r>
        <w:t>ПОДГОТОВКА КАДРОВ ВЫСШЕЙ КВАЛИФИКАЦИИ</w:t>
      </w:r>
    </w:p>
    <w:p w:rsidR="00300EA7" w:rsidRDefault="00300EA7">
      <w:pPr>
        <w:pStyle w:val="ConsPlusTitle"/>
        <w:jc w:val="center"/>
      </w:pPr>
    </w:p>
    <w:p w:rsidR="00300EA7" w:rsidRDefault="00300EA7">
      <w:pPr>
        <w:pStyle w:val="ConsPlusTitle"/>
        <w:jc w:val="center"/>
      </w:pPr>
      <w:r>
        <w:t>СПЕЦИАЛЬНОСТЬ</w:t>
      </w:r>
    </w:p>
    <w:p w:rsidR="00300EA7" w:rsidRDefault="00300EA7">
      <w:pPr>
        <w:pStyle w:val="ConsPlusTitle"/>
        <w:jc w:val="center"/>
      </w:pPr>
      <w:r>
        <w:t>31.08.28 ГАСТРОЭНТЕРОЛОГИЯ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I. ОБЛАСТЬ ПРИМЕНЕНИЯ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31.08.28 Гастроэнтерология (далее соответственно - программа ординатуры, специальность).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II. ИСПОЛЬЗУЕМЫЕ СОКРАЩЕНИЯ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III. ХАРАКТЕРИСТИКА СПЕЦИАЛЬНОСТИ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300EA7" w:rsidRDefault="00300EA7">
      <w:pPr>
        <w:pStyle w:val="ConsPlusNormal"/>
        <w:jc w:val="center"/>
      </w:pPr>
      <w:r>
        <w:t>ВЫПУСКНИКОВ, ОСВОИВШИХ ПРОГРАММУ ОРДИНАТУРЫ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население;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лечебная;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проведение профилактических медицинских осмотров, </w:t>
      </w:r>
      <w:r>
        <w:lastRenderedPageBreak/>
        <w:t>диспансеризации, диспансерного наблюдения;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ведению и лечению пациентов, нуждающихся в оказании гастроэнтерологической медицинской помощи (ПК-6);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</w:r>
      <w:r>
        <w:lastRenderedPageBreak/>
        <w:t>(ПК-8);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Блок 2 "Практики", относящиеся как к базовой части программы, так и к </w:t>
      </w:r>
      <w:r>
        <w:lastRenderedPageBreak/>
        <w:t>ее вариативной части.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"Врач-гастроэнтеролог".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2"/>
      </w:pPr>
      <w:r>
        <w:t>Структура программы ординатуры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right"/>
      </w:pPr>
      <w:r>
        <w:t>Таблица</w:t>
      </w:r>
    </w:p>
    <w:p w:rsidR="00300EA7" w:rsidRDefault="00300EA7">
      <w:pPr>
        <w:pStyle w:val="ConsPlusNormal"/>
        <w:jc w:val="both"/>
      </w:pPr>
    </w:p>
    <w:p w:rsidR="00300EA7" w:rsidRDefault="00300EA7">
      <w:pPr>
        <w:sectPr w:rsidR="00300EA7" w:rsidSect="00824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580"/>
        <w:gridCol w:w="2557"/>
      </w:tblGrid>
      <w:tr w:rsidR="00300EA7">
        <w:tc>
          <w:tcPr>
            <w:tcW w:w="7082" w:type="dxa"/>
            <w:gridSpan w:val="2"/>
          </w:tcPr>
          <w:p w:rsidR="00300EA7" w:rsidRDefault="00300EA7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300EA7">
        <w:tc>
          <w:tcPr>
            <w:tcW w:w="1502" w:type="dxa"/>
          </w:tcPr>
          <w:p w:rsidR="00300EA7" w:rsidRDefault="00300EA7">
            <w:pPr>
              <w:pStyle w:val="ConsPlusNormal"/>
            </w:pPr>
            <w:r>
              <w:t>Блок 1</w:t>
            </w:r>
          </w:p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42 - 48</w:t>
            </w:r>
          </w:p>
        </w:tc>
      </w:tr>
      <w:tr w:rsidR="00300EA7">
        <w:tc>
          <w:tcPr>
            <w:tcW w:w="1502" w:type="dxa"/>
            <w:vMerge w:val="restart"/>
          </w:tcPr>
          <w:p w:rsidR="00300EA7" w:rsidRDefault="00300EA7">
            <w:pPr>
              <w:pStyle w:val="ConsPlusNormal"/>
            </w:pPr>
          </w:p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33 - 39</w:t>
            </w:r>
          </w:p>
        </w:tc>
      </w:tr>
      <w:tr w:rsidR="00300EA7">
        <w:tc>
          <w:tcPr>
            <w:tcW w:w="1502" w:type="dxa"/>
            <w:vMerge/>
          </w:tcPr>
          <w:p w:rsidR="00300EA7" w:rsidRDefault="00300EA7"/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6 - 12</w:t>
            </w:r>
          </w:p>
        </w:tc>
      </w:tr>
      <w:tr w:rsidR="00300EA7">
        <w:tc>
          <w:tcPr>
            <w:tcW w:w="1502" w:type="dxa"/>
            <w:vMerge w:val="restart"/>
          </w:tcPr>
          <w:p w:rsidR="00300EA7" w:rsidRDefault="00300EA7">
            <w:pPr>
              <w:pStyle w:val="ConsPlusNormal"/>
            </w:pPr>
            <w:r>
              <w:t>Блок 2</w:t>
            </w:r>
          </w:p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Практики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69 - 75</w:t>
            </w:r>
          </w:p>
        </w:tc>
      </w:tr>
      <w:tr w:rsidR="00300EA7">
        <w:tc>
          <w:tcPr>
            <w:tcW w:w="1502" w:type="dxa"/>
            <w:vMerge/>
          </w:tcPr>
          <w:p w:rsidR="00300EA7" w:rsidRDefault="00300EA7"/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60 - 66</w:t>
            </w:r>
          </w:p>
        </w:tc>
      </w:tr>
      <w:tr w:rsidR="00300EA7">
        <w:tc>
          <w:tcPr>
            <w:tcW w:w="1502" w:type="dxa"/>
            <w:vMerge/>
          </w:tcPr>
          <w:p w:rsidR="00300EA7" w:rsidRDefault="00300EA7"/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6 - 12</w:t>
            </w:r>
          </w:p>
        </w:tc>
      </w:tr>
      <w:tr w:rsidR="00300EA7">
        <w:tc>
          <w:tcPr>
            <w:tcW w:w="1502" w:type="dxa"/>
            <w:vMerge w:val="restart"/>
          </w:tcPr>
          <w:p w:rsidR="00300EA7" w:rsidRDefault="00300EA7">
            <w:pPr>
              <w:pStyle w:val="ConsPlusNormal"/>
            </w:pPr>
            <w:r>
              <w:t>Блок 3</w:t>
            </w:r>
          </w:p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3</w:t>
            </w:r>
          </w:p>
        </w:tc>
      </w:tr>
      <w:tr w:rsidR="00300EA7">
        <w:tc>
          <w:tcPr>
            <w:tcW w:w="1502" w:type="dxa"/>
            <w:vMerge/>
          </w:tcPr>
          <w:p w:rsidR="00300EA7" w:rsidRDefault="00300EA7"/>
        </w:tc>
        <w:tc>
          <w:tcPr>
            <w:tcW w:w="5580" w:type="dxa"/>
          </w:tcPr>
          <w:p w:rsidR="00300EA7" w:rsidRDefault="00300EA7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3</w:t>
            </w:r>
          </w:p>
        </w:tc>
      </w:tr>
      <w:tr w:rsidR="00300EA7">
        <w:tc>
          <w:tcPr>
            <w:tcW w:w="7082" w:type="dxa"/>
            <w:gridSpan w:val="2"/>
          </w:tcPr>
          <w:p w:rsidR="00300EA7" w:rsidRDefault="00300EA7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557" w:type="dxa"/>
          </w:tcPr>
          <w:p w:rsidR="00300EA7" w:rsidRDefault="00300EA7">
            <w:pPr>
              <w:pStyle w:val="ConsPlusNormal"/>
              <w:jc w:val="center"/>
            </w:pPr>
            <w:r>
              <w:t>120</w:t>
            </w:r>
          </w:p>
        </w:tc>
      </w:tr>
    </w:tbl>
    <w:p w:rsidR="00300EA7" w:rsidRDefault="00300EA7">
      <w:pPr>
        <w:sectPr w:rsidR="00300E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стационарная;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выездная.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здоровья, в объеме не менее 30 процентов от объема вариативной части Блока 1 "Дисциплины (модули)".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 требованиям к медицинским и фармацевтическим работникам, утверждаемым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аудитории, оборудованные фантомной и симуляционной техникой, имитирующей манипуляции,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анатомический зал и (или) помещения, предусмотренные для работы с </w:t>
      </w:r>
      <w:r>
        <w:lastRenderedPageBreak/>
        <w:t>биологическими моделями;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прибор для проведения внутрижелудочной pH-метрии, гастроскоп с набором для биопсии, колоноскоп с набором для биопсии, ректосигмоскоп с набором</w:t>
      </w:r>
      <w:proofErr w:type="gramEnd"/>
      <w:r>
        <w:t xml:space="preserve"> </w:t>
      </w:r>
      <w:proofErr w:type="gramStart"/>
      <w:r>
        <w:t>для биопсии, аппарат для ультразвуковой диагностики, набор для слепой пункционной биопсии печени, аппарат наркозно-дыхательный, аппарат искусственной вентиляции легких,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показателей, анализатор дыхательной смеси, электроэнцефалограф, дефибриллятор с функцией синхронизации) и расходным материалом в количестве</w:t>
      </w:r>
      <w:proofErr w:type="gramEnd"/>
      <w:r>
        <w:t xml:space="preserve">, </w:t>
      </w:r>
      <w:proofErr w:type="gramStart"/>
      <w:r>
        <w:t>позволяющем</w:t>
      </w:r>
      <w:proofErr w:type="gramEnd"/>
      <w:r>
        <w:t xml:space="preserve">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</w:t>
      </w:r>
      <w:r>
        <w:lastRenderedPageBreak/>
        <w:t>программах дисциплин (модулей) и подлежит ежегодному обновлению).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300EA7" w:rsidRDefault="00300EA7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jc w:val="both"/>
      </w:pPr>
    </w:p>
    <w:p w:rsidR="00300EA7" w:rsidRDefault="0030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A944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7"/>
    <w:rsid w:val="00036EB1"/>
    <w:rsid w:val="000C7D99"/>
    <w:rsid w:val="00300EA7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5AB3CF7AF5C7EE8551E5E1E3ECF260FD54D6AA70444E0A876F71BE91A802DEFFA9EA8F9968D948AF6397E788578CB49A31E2E85828729OEFAN" TargetMode="External"/><Relationship Id="rId13" Type="http://schemas.openxmlformats.org/officeDocument/2006/relationships/hyperlink" Target="consultantplus://offline/ref=F985AB3CF7AF5C7EE8551E5E1E3ECF260DD74F6FA10644E0A876F71BE91A802DEFFA9EA8F9978D9C83F6397E788578CB49A31E2E85828729OEF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5AB3CF7AF5C7EE8551E5E1E3ECF260DD3496AA70644E0A876F71BE91A802DEFFA9EA8F9978D9D8AF6397E788578CB49A31E2E85828729OEFAN" TargetMode="External"/><Relationship Id="rId12" Type="http://schemas.openxmlformats.org/officeDocument/2006/relationships/hyperlink" Target="consultantplus://offline/ref=F985AB3CF7AF5C7EE8551E5E1E3ECF260EDE4B62A50944E0A876F71BE91A802DFDFAC6A4F897939C83E36F2F3DODF9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5AB3CF7AF5C7EE8551E5E1E3ECF260EDE4A6DA10844E0A876F71BE91A802DEFFA9EA8F9978D9981F6397E788578CB49A31E2E85828729OEFAN" TargetMode="External"/><Relationship Id="rId11" Type="http://schemas.openxmlformats.org/officeDocument/2006/relationships/hyperlink" Target="consultantplus://offline/ref=F985AB3CF7AF5C7EE8551E5E1E3ECF260FD44F63A80044E0A876F71BE91A802DFDFAC6A4F897939C83E36F2F3DODF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85AB3CF7AF5C7EE8551E5E1E3ECF260DD34F6AA00044E0A876F71BE91A802DEFFA9EA8F9978D9C81F6397E788578CB49A31E2E85828729OEFAN" TargetMode="External"/><Relationship Id="rId10" Type="http://schemas.openxmlformats.org/officeDocument/2006/relationships/hyperlink" Target="consultantplus://offline/ref=F985AB3CF7AF5C7EE8551E5E1E3ECF260DD34C62A70944E0A876F71BE91A802DFDFAC6A4F897939C83E36F2F3DOD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5AB3CF7AF5C7EE8551E5E1E3ECF260FD54D6AA70444E0A876F71BE91A802DEFFA9EA8F9968C9D83F6397E788578CB49A31E2E85828729OEFAN" TargetMode="External"/><Relationship Id="rId14" Type="http://schemas.openxmlformats.org/officeDocument/2006/relationships/hyperlink" Target="consultantplus://offline/ref=F985AB3CF7AF5C7EE8551E5E1E3ECF260DD4456CA50444E0A876F71BE91A802DFDFAC6A4F897939C83E36F2F3DOD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2019-10-10T13:05:00Z</dcterms:created>
  <dcterms:modified xsi:type="dcterms:W3CDTF">2019-10-10T13:05:00Z</dcterms:modified>
</cp:coreProperties>
</file>