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AF" w:rsidRDefault="00404B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4BAF" w:rsidRDefault="00404BAF">
      <w:pPr>
        <w:pStyle w:val="ConsPlusNormal"/>
        <w:jc w:val="both"/>
        <w:outlineLvl w:val="0"/>
      </w:pPr>
    </w:p>
    <w:p w:rsidR="00404BAF" w:rsidRDefault="00404BAF">
      <w:pPr>
        <w:pStyle w:val="ConsPlusNormal"/>
        <w:outlineLvl w:val="0"/>
      </w:pPr>
      <w:r>
        <w:t>Зарегистрировано в Минюсте России 20 апреля 2015 г. N 36928</w:t>
      </w:r>
    </w:p>
    <w:p w:rsidR="00404BAF" w:rsidRDefault="00404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04BAF" w:rsidRDefault="00404BAF">
      <w:pPr>
        <w:pStyle w:val="ConsPlusTitle"/>
        <w:jc w:val="center"/>
      </w:pPr>
    </w:p>
    <w:p w:rsidR="00404BAF" w:rsidRDefault="00404BAF">
      <w:pPr>
        <w:pStyle w:val="ConsPlusTitle"/>
        <w:jc w:val="center"/>
      </w:pPr>
      <w:r>
        <w:t>ПРИКАЗ</w:t>
      </w:r>
    </w:p>
    <w:p w:rsidR="00404BAF" w:rsidRDefault="00404BAF">
      <w:pPr>
        <w:pStyle w:val="ConsPlusTitle"/>
        <w:jc w:val="center"/>
      </w:pPr>
      <w:r>
        <w:t>от 30 марта 2015 г. N 313</w:t>
      </w:r>
    </w:p>
    <w:p w:rsidR="00404BAF" w:rsidRDefault="00404BAF">
      <w:pPr>
        <w:pStyle w:val="ConsPlusTitle"/>
        <w:jc w:val="center"/>
      </w:pPr>
    </w:p>
    <w:p w:rsidR="00404BAF" w:rsidRDefault="00404BAF">
      <w:pPr>
        <w:pStyle w:val="ConsPlusTitle"/>
        <w:jc w:val="center"/>
      </w:pPr>
      <w:r>
        <w:t>ОБ УТВЕРЖДЕНИИ</w:t>
      </w:r>
    </w:p>
    <w:p w:rsidR="00404BAF" w:rsidRDefault="00404B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04BAF" w:rsidRDefault="00404BAF">
      <w:pPr>
        <w:pStyle w:val="ConsPlusTitle"/>
        <w:jc w:val="center"/>
      </w:pPr>
      <w:r>
        <w:t>ВЫСШЕГО ОБРАЗОВАНИЯ ПО НАПРАВЛЕНИЮ ПОДГОТОВКИ 32.04.01</w:t>
      </w:r>
    </w:p>
    <w:p w:rsidR="00404BAF" w:rsidRDefault="00404BAF">
      <w:pPr>
        <w:pStyle w:val="ConsPlusTitle"/>
        <w:jc w:val="center"/>
      </w:pPr>
      <w:r>
        <w:t>ОБЩЕСТВЕННОЕ ЗДРАВООХРАНЕНИЕ (УРОВЕНЬ МАГИСТРАТУРЫ)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32.04.01 Общественное здравоохранение (уровень магистратуры).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404BAF" w:rsidRDefault="00404BAF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800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060400 Общественное здравоохранение (квалификация (степень) "магистр")" (зарегистрирован Министерством юстиции Российской Федерации 9 февраля 2010 г., регистрационный N 16336);</w:t>
      </w:r>
    </w:p>
    <w:p w:rsidR="00404BAF" w:rsidRDefault="00404BAF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пункт 55</w:t>
        </w:r>
      </w:hyperlink>
      <w:r>
        <w:t xml:space="preserve"> изменений, которые вносятся в федеральные государственные </w:t>
      </w:r>
      <w:r>
        <w:lastRenderedPageBreak/>
        <w:t>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right"/>
      </w:pPr>
      <w:r>
        <w:t>Министр</w:t>
      </w:r>
    </w:p>
    <w:p w:rsidR="00404BAF" w:rsidRDefault="00404BAF">
      <w:pPr>
        <w:pStyle w:val="ConsPlusNormal"/>
        <w:jc w:val="right"/>
      </w:pPr>
      <w:r>
        <w:t>Д.В.ЛИВАНОВ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right"/>
        <w:outlineLvl w:val="0"/>
      </w:pPr>
      <w:r>
        <w:t>Приложение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right"/>
      </w:pPr>
      <w:r>
        <w:t>Утвержден</w:t>
      </w:r>
    </w:p>
    <w:p w:rsidR="00404BAF" w:rsidRDefault="00404BAF">
      <w:pPr>
        <w:pStyle w:val="ConsPlusNormal"/>
        <w:jc w:val="right"/>
      </w:pPr>
      <w:r>
        <w:t>приказом Министерства образования</w:t>
      </w:r>
    </w:p>
    <w:p w:rsidR="00404BAF" w:rsidRDefault="00404BAF">
      <w:pPr>
        <w:pStyle w:val="ConsPlusNormal"/>
        <w:jc w:val="right"/>
      </w:pPr>
      <w:r>
        <w:t>и науки Российской Федерации</w:t>
      </w:r>
    </w:p>
    <w:p w:rsidR="00404BAF" w:rsidRDefault="00404BAF">
      <w:pPr>
        <w:pStyle w:val="ConsPlusNormal"/>
        <w:jc w:val="right"/>
      </w:pPr>
      <w:r>
        <w:t>от 30 марта 2015 г. N 313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04BAF" w:rsidRDefault="00404BAF">
      <w:pPr>
        <w:pStyle w:val="ConsPlusTitle"/>
        <w:jc w:val="center"/>
      </w:pPr>
      <w:r>
        <w:t>ВЫСШЕГО ОБРАЗОВАНИЯ</w:t>
      </w:r>
    </w:p>
    <w:p w:rsidR="00404BAF" w:rsidRDefault="00404BAF">
      <w:pPr>
        <w:pStyle w:val="ConsPlusTitle"/>
        <w:jc w:val="center"/>
      </w:pPr>
    </w:p>
    <w:p w:rsidR="00404BAF" w:rsidRDefault="00404BAF">
      <w:pPr>
        <w:pStyle w:val="ConsPlusTitle"/>
        <w:jc w:val="center"/>
      </w:pPr>
      <w:r>
        <w:t>УРОВЕНЬ ВЫСШЕГО ОБРАЗОВАНИЯ</w:t>
      </w:r>
    </w:p>
    <w:p w:rsidR="00404BAF" w:rsidRDefault="00404BAF">
      <w:pPr>
        <w:pStyle w:val="ConsPlusTitle"/>
        <w:jc w:val="center"/>
      </w:pPr>
      <w:r>
        <w:t>МАГИСТРАТУРА</w:t>
      </w:r>
    </w:p>
    <w:p w:rsidR="00404BAF" w:rsidRDefault="00404BAF">
      <w:pPr>
        <w:pStyle w:val="ConsPlusTitle"/>
        <w:jc w:val="center"/>
      </w:pPr>
    </w:p>
    <w:p w:rsidR="00404BAF" w:rsidRDefault="00404BAF">
      <w:pPr>
        <w:pStyle w:val="ConsPlusTitle"/>
        <w:jc w:val="center"/>
      </w:pPr>
      <w:r>
        <w:t>НАПРАВЛЕНИЕ ПОДГОТОВКИ</w:t>
      </w:r>
    </w:p>
    <w:p w:rsidR="00404BAF" w:rsidRDefault="00404BAF">
      <w:pPr>
        <w:pStyle w:val="ConsPlusTitle"/>
        <w:jc w:val="center"/>
      </w:pPr>
      <w:r>
        <w:t>32.04.01 ОБЩЕСТВЕННОЕ ЗДРАВООХРАНЕНИЕ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center"/>
        <w:outlineLvl w:val="1"/>
      </w:pPr>
      <w:r>
        <w:t>I. ОБЛАСТЬ ПРИМЕНЕНИЯ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32.04.01 Общественное здравоохранение (далее соответственно - программа магистратуры, направление подготовки).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center"/>
        <w:outlineLvl w:val="1"/>
      </w:pPr>
      <w:r>
        <w:t>II. ИСПОЛЬЗУЕМЫЕ СОКРАЩЕНИЯ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04BAF" w:rsidRDefault="00404BAF">
      <w:pPr>
        <w:pStyle w:val="ConsPlusNormal"/>
        <w:spacing w:before="28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- общекультурные компетенции;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ОПК - общепрофессиональные компетенции;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 и очно-заочной формах обучения.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магистратуры: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в очно-заочной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 xml:space="preserve">за один учебный год при </w:t>
      </w:r>
      <w:r>
        <w:lastRenderedPageBreak/>
        <w:t>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форме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404BAF" w:rsidRDefault="00404BAF">
      <w:pPr>
        <w:pStyle w:val="ConsPlusNormal"/>
        <w:jc w:val="center"/>
      </w:pPr>
      <w:r>
        <w:t>ВЫПУСКНИКОВ, ОСВОИВШИХ ПРОГРАММУ МАГИСТРАТУРЫ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организацию системы здравоохранения в целях обеспечения общественного здоровья.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население,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управление </w:t>
      </w:r>
      <w:proofErr w:type="gramStart"/>
      <w:r>
        <w:t>медико-социальными</w:t>
      </w:r>
      <w:proofErr w:type="gramEnd"/>
      <w:r>
        <w:t>, экологическими факторами, влияющими на здоровье и качество жизни,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процессы взаимодействия организаций, функционирующих в сфере здравоохранения.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lastRenderedPageBreak/>
        <w:t>научно-исследовательская;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научно-производственная и проектная;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организационно-управленческая.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организация и проведение научного исследования по актуальной проблеме;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 к разработке новых методов и технологий в области здравоохранения;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подготовка и публичное представление результатов научных исследований;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научно-производственная и проектная деятельность: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проведение </w:t>
      </w:r>
      <w:proofErr w:type="gramStart"/>
      <w:r>
        <w:t>медико-социальных</w:t>
      </w:r>
      <w:proofErr w:type="gramEnd"/>
      <w:r>
        <w:t xml:space="preserve"> и социально-экономических исследований;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организация и участие в проведении оценки состояния здоровья населения, эпидемиологической обстановки;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lastRenderedPageBreak/>
        <w:t>участие в планировании и проведении мероприятий по охране здоровья, улучшению здоровья населения, организации и менеджмента в области общественного здравоохранения;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участие в оценке рисков при внедрении новых медико-организационных технологий в деятельность медицинских организаций;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подготовка и оформление научно-производственной и проектной документации;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разработка и реализация комплекса мероприятий организационного характера, направленных на сохранение и укрепление общественного здоровья;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осуществление мероприятий по формированию мотивированного отношения населения к сохранению и укреплению здоровья;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организация оценки качества оказания медицинской помощи;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ведение деловой переписки, в том числе с международными партнерами;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подготовка и проведение научных мероприятий.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center"/>
        <w:outlineLvl w:val="1"/>
      </w:pPr>
      <w:r>
        <w:t>V. ТРЕБОВАНИЯ К РЕЗУЛЬТАТАМ ОСВОЕНИЯ ПРОГРАММЫ МАГИСТРАТУРЫ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способностью к абстрактному мышлению, анализу, синтезу (ОК-1);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способностью и готовностью к подготовке и применению научной, </w:t>
      </w:r>
      <w:r>
        <w:lastRenderedPageBreak/>
        <w:t>научно-производственной, проектной, организационно-управленческой и нормативной документации (ОПК-1);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способностью и готовностью к использованию информационных технологий (ОПК-2);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способностью и готовностью к работе в команде, способностью к действиям в рамках согласованных целей и задач, способностью брать на себя личную ответственность и лидерство в планировании и осуществлении профессиональной деятельности, толерантно воспринимая социальные, этнические, конфессиональные и культурные различия (ОПК-3);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готовностью к коммуникации для решения задач профессиональной деятельности, в том числе с международными партнерами (ОПК-4);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способностью и готовностью к организации публичных мероприятий для решения задач профессиональной деятельности, в том числе с международными партнерами (ОПК-5).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способностью и готовностью к организации и проведению научных исследований, включая выбор цели и формулировку задач, планирование, подбор адекватных методов, сбор, обработку, анализ данных и публичное их представление с учетом требований информационной безопасности (ПК-1);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научно-производственная и проектная деятельность: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способностью и готовностью к организации и осуществлению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 (ПК-2);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способностью и готовностью к планированию, организации и осуществлению мероприятий по обеспечению охраны здоровья населения (ПК-3);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способностью и готовностью к просветительской деятельности </w:t>
      </w:r>
      <w:r>
        <w:lastRenderedPageBreak/>
        <w:t>(публичные лекции, доклады, просветительская работа с группами риска) (ПК-4).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center"/>
        <w:outlineLvl w:val="1"/>
      </w:pPr>
      <w:r>
        <w:t>VI. ТРЕБОВАНИЯ К СТРУКТУРЕ ПРОГРАММЫ МАГИСТРАТУРЫ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6.2. Программа магистратуры состоит из следующих блоков:</w:t>
      </w:r>
    </w:p>
    <w:p w:rsidR="00404BAF" w:rsidRDefault="00404BAF">
      <w:pPr>
        <w:pStyle w:val="ConsPlusNormal"/>
        <w:spacing w:before="280"/>
        <w:ind w:firstLine="540"/>
        <w:jc w:val="both"/>
      </w:pPr>
      <w:hyperlink w:anchor="P14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04BAF" w:rsidRDefault="00404BAF">
      <w:pPr>
        <w:pStyle w:val="ConsPlusNormal"/>
        <w:spacing w:before="280"/>
        <w:ind w:firstLine="540"/>
        <w:jc w:val="both"/>
      </w:pPr>
      <w:hyperlink w:anchor="P153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404BAF" w:rsidRDefault="00404BAF">
      <w:pPr>
        <w:pStyle w:val="ConsPlusNormal"/>
        <w:spacing w:before="280"/>
        <w:ind w:firstLine="540"/>
        <w:jc w:val="both"/>
      </w:pPr>
      <w:hyperlink w:anchor="P15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04BAF" w:rsidRDefault="00404BAF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</w:t>
      </w:r>
      <w:r>
        <w:lastRenderedPageBreak/>
        <w:t>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center"/>
        <w:outlineLvl w:val="2"/>
      </w:pPr>
      <w:r>
        <w:t>Структура программы магистратуры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right"/>
      </w:pPr>
      <w:r>
        <w:t>Таблица</w:t>
      </w:r>
    </w:p>
    <w:p w:rsidR="00404BAF" w:rsidRDefault="00404BAF">
      <w:pPr>
        <w:pStyle w:val="ConsPlusNormal"/>
        <w:jc w:val="both"/>
      </w:pPr>
    </w:p>
    <w:p w:rsidR="00404BAF" w:rsidRDefault="00404BAF">
      <w:pPr>
        <w:sectPr w:rsidR="00404BAF" w:rsidSect="00040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6185"/>
        <w:gridCol w:w="2280"/>
      </w:tblGrid>
      <w:tr w:rsidR="00404BAF">
        <w:tc>
          <w:tcPr>
            <w:tcW w:w="7380" w:type="dxa"/>
            <w:gridSpan w:val="2"/>
          </w:tcPr>
          <w:p w:rsidR="00404BAF" w:rsidRDefault="00404BAF">
            <w:pPr>
              <w:pStyle w:val="ConsPlusNormal"/>
              <w:jc w:val="center"/>
            </w:pPr>
            <w:r>
              <w:lastRenderedPageBreak/>
              <w:t>Структура программы магистратуры</w:t>
            </w:r>
          </w:p>
        </w:tc>
        <w:tc>
          <w:tcPr>
            <w:tcW w:w="2280" w:type="dxa"/>
          </w:tcPr>
          <w:p w:rsidR="00404BAF" w:rsidRDefault="00404BAF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404BAF">
        <w:tc>
          <w:tcPr>
            <w:tcW w:w="1195" w:type="dxa"/>
            <w:vMerge w:val="restart"/>
          </w:tcPr>
          <w:p w:rsidR="00404BAF" w:rsidRDefault="00404BAF">
            <w:pPr>
              <w:pStyle w:val="ConsPlusNormal"/>
            </w:pPr>
            <w:bookmarkStart w:id="1" w:name="P146"/>
            <w:bookmarkEnd w:id="1"/>
            <w:r>
              <w:t>Блок 1</w:t>
            </w:r>
          </w:p>
        </w:tc>
        <w:tc>
          <w:tcPr>
            <w:tcW w:w="6185" w:type="dxa"/>
          </w:tcPr>
          <w:p w:rsidR="00404BAF" w:rsidRDefault="00404BA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80" w:type="dxa"/>
          </w:tcPr>
          <w:p w:rsidR="00404BAF" w:rsidRDefault="00404BAF">
            <w:pPr>
              <w:pStyle w:val="ConsPlusNormal"/>
              <w:jc w:val="center"/>
            </w:pPr>
            <w:r>
              <w:t>57 - 60</w:t>
            </w:r>
          </w:p>
        </w:tc>
      </w:tr>
      <w:tr w:rsidR="00404BAF">
        <w:tc>
          <w:tcPr>
            <w:tcW w:w="1195" w:type="dxa"/>
            <w:vMerge/>
          </w:tcPr>
          <w:p w:rsidR="00404BAF" w:rsidRDefault="00404BAF"/>
        </w:tc>
        <w:tc>
          <w:tcPr>
            <w:tcW w:w="6185" w:type="dxa"/>
          </w:tcPr>
          <w:p w:rsidR="00404BAF" w:rsidRDefault="00404BAF">
            <w:pPr>
              <w:pStyle w:val="ConsPlusNormal"/>
            </w:pPr>
            <w:r>
              <w:t>Базовая часть</w:t>
            </w:r>
          </w:p>
        </w:tc>
        <w:tc>
          <w:tcPr>
            <w:tcW w:w="2280" w:type="dxa"/>
          </w:tcPr>
          <w:p w:rsidR="00404BAF" w:rsidRDefault="00404BAF">
            <w:pPr>
              <w:pStyle w:val="ConsPlusNormal"/>
              <w:jc w:val="center"/>
            </w:pPr>
            <w:r>
              <w:t>15 - 21</w:t>
            </w:r>
          </w:p>
        </w:tc>
      </w:tr>
      <w:tr w:rsidR="00404BAF">
        <w:tc>
          <w:tcPr>
            <w:tcW w:w="1195" w:type="dxa"/>
            <w:vMerge/>
          </w:tcPr>
          <w:p w:rsidR="00404BAF" w:rsidRDefault="00404BAF"/>
        </w:tc>
        <w:tc>
          <w:tcPr>
            <w:tcW w:w="6185" w:type="dxa"/>
          </w:tcPr>
          <w:p w:rsidR="00404BAF" w:rsidRDefault="00404BA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80" w:type="dxa"/>
          </w:tcPr>
          <w:p w:rsidR="00404BAF" w:rsidRDefault="00404BAF">
            <w:pPr>
              <w:pStyle w:val="ConsPlusNormal"/>
              <w:jc w:val="center"/>
            </w:pPr>
            <w:r>
              <w:t>39 - 42</w:t>
            </w:r>
          </w:p>
        </w:tc>
      </w:tr>
      <w:tr w:rsidR="00404BAF">
        <w:tc>
          <w:tcPr>
            <w:tcW w:w="1195" w:type="dxa"/>
            <w:vMerge w:val="restart"/>
          </w:tcPr>
          <w:p w:rsidR="00404BAF" w:rsidRDefault="00404BAF">
            <w:pPr>
              <w:pStyle w:val="ConsPlusNormal"/>
            </w:pPr>
            <w:bookmarkStart w:id="2" w:name="P153"/>
            <w:bookmarkEnd w:id="2"/>
            <w:r>
              <w:t>Блок 2</w:t>
            </w:r>
          </w:p>
        </w:tc>
        <w:tc>
          <w:tcPr>
            <w:tcW w:w="6185" w:type="dxa"/>
          </w:tcPr>
          <w:p w:rsidR="00404BAF" w:rsidRDefault="00404BAF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80" w:type="dxa"/>
          </w:tcPr>
          <w:p w:rsidR="00404BAF" w:rsidRDefault="00404BAF">
            <w:pPr>
              <w:pStyle w:val="ConsPlusNormal"/>
              <w:jc w:val="center"/>
            </w:pPr>
            <w:r>
              <w:t>51 - 57</w:t>
            </w:r>
          </w:p>
        </w:tc>
      </w:tr>
      <w:tr w:rsidR="00404BAF">
        <w:tc>
          <w:tcPr>
            <w:tcW w:w="1195" w:type="dxa"/>
            <w:vMerge/>
          </w:tcPr>
          <w:p w:rsidR="00404BAF" w:rsidRDefault="00404BAF"/>
        </w:tc>
        <w:tc>
          <w:tcPr>
            <w:tcW w:w="6185" w:type="dxa"/>
          </w:tcPr>
          <w:p w:rsidR="00404BAF" w:rsidRDefault="00404BA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80" w:type="dxa"/>
          </w:tcPr>
          <w:p w:rsidR="00404BAF" w:rsidRDefault="00404BAF">
            <w:pPr>
              <w:pStyle w:val="ConsPlusNormal"/>
              <w:jc w:val="center"/>
            </w:pPr>
            <w:r>
              <w:t>51 - 57</w:t>
            </w:r>
          </w:p>
        </w:tc>
      </w:tr>
      <w:tr w:rsidR="00404BAF">
        <w:tc>
          <w:tcPr>
            <w:tcW w:w="1195" w:type="dxa"/>
          </w:tcPr>
          <w:p w:rsidR="00404BAF" w:rsidRDefault="00404BAF">
            <w:pPr>
              <w:pStyle w:val="ConsPlusNormal"/>
            </w:pPr>
            <w:bookmarkStart w:id="3" w:name="P158"/>
            <w:bookmarkEnd w:id="3"/>
            <w:r>
              <w:t>Блок 3</w:t>
            </w:r>
          </w:p>
        </w:tc>
        <w:tc>
          <w:tcPr>
            <w:tcW w:w="6185" w:type="dxa"/>
          </w:tcPr>
          <w:p w:rsidR="00404BAF" w:rsidRDefault="00404B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80" w:type="dxa"/>
          </w:tcPr>
          <w:p w:rsidR="00404BAF" w:rsidRDefault="00404BAF">
            <w:pPr>
              <w:pStyle w:val="ConsPlusNormal"/>
              <w:jc w:val="center"/>
            </w:pPr>
            <w:r>
              <w:t>6 - 9</w:t>
            </w:r>
          </w:p>
        </w:tc>
      </w:tr>
      <w:tr w:rsidR="00404BAF">
        <w:tc>
          <w:tcPr>
            <w:tcW w:w="7380" w:type="dxa"/>
            <w:gridSpan w:val="2"/>
          </w:tcPr>
          <w:p w:rsidR="00404BAF" w:rsidRDefault="00404BAF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280" w:type="dxa"/>
          </w:tcPr>
          <w:p w:rsidR="00404BAF" w:rsidRDefault="00404BAF">
            <w:pPr>
              <w:pStyle w:val="ConsPlusNormal"/>
              <w:jc w:val="center"/>
            </w:pPr>
            <w:r>
              <w:t>120</w:t>
            </w:r>
          </w:p>
        </w:tc>
      </w:tr>
    </w:tbl>
    <w:p w:rsidR="00404BAF" w:rsidRDefault="00404BAF">
      <w:pPr>
        <w:sectPr w:rsidR="00404B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46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53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6.5. В </w:t>
      </w:r>
      <w:hyperlink w:anchor="P153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Типы учебной практики: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Типы производственной практики: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НИР;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проектная.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Способы проведения учебной и производственной практик: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стационарная;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выездная.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Преддипломная практика проводится для выполнения выпускной </w:t>
      </w:r>
      <w:r>
        <w:lastRenderedPageBreak/>
        <w:t>квалификационной работы и является обязательной.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6.6. В </w:t>
      </w:r>
      <w:hyperlink w:anchor="P15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6.7. Реализация практической подготовки обучающихся, осуществляемой в соответствии с порядком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установленным приказом Министерства здравоохранения Российской Федерации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Минюстом России 1 ноября 2013 г., регистрационный N 30304).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r>
        <w:t xml:space="preserve">6.8.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4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6.9. Количество часов, отведенных на занятия лекционного типа, в целом </w:t>
      </w:r>
      <w:r>
        <w:lastRenderedPageBreak/>
        <w:t xml:space="preserve">по </w:t>
      </w:r>
      <w:hyperlink w:anchor="P146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404BAF" w:rsidRDefault="00404BAF">
      <w:pPr>
        <w:pStyle w:val="ConsPlusNormal"/>
        <w:jc w:val="center"/>
      </w:pPr>
      <w:r>
        <w:t>ПРОГРАММЫ МАГИСТРАТУРЫ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04BAF" w:rsidRDefault="00404BAF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7.1.6. Доля штатных научно-педагогических работников (в приведенных </w:t>
      </w:r>
      <w:r>
        <w:lastRenderedPageBreak/>
        <w:t>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r>
        <w:lastRenderedPageBreak/>
        <w:t>80 процентов для программы академической магистратуры;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65 процентов для программы прикладной магистратуры.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404BAF" w:rsidRDefault="00404BAF">
      <w:pPr>
        <w:pStyle w:val="ConsPlusNormal"/>
        <w:spacing w:before="280"/>
        <w:ind w:firstLine="540"/>
        <w:jc w:val="both"/>
      </w:pPr>
      <w:r>
        <w:t>15 процентов для программы академической магистратуры;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25 процентов для программы прикладной магистратуры.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</w:t>
      </w:r>
      <w:r>
        <w:lastRenderedPageBreak/>
        <w:t>(модулей).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404BAF" w:rsidRDefault="00404BAF">
      <w:pPr>
        <w:pStyle w:val="ConsPlusNormal"/>
        <w:spacing w:before="28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jc w:val="both"/>
      </w:pPr>
    </w:p>
    <w:p w:rsidR="00404BAF" w:rsidRDefault="00404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4" w:name="_GoBack"/>
      <w:bookmarkEnd w:id="4"/>
    </w:p>
    <w:sectPr w:rsidR="009859C4" w:rsidSect="007E77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AF"/>
    <w:rsid w:val="00404BAF"/>
    <w:rsid w:val="006B64F4"/>
    <w:rsid w:val="009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4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04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4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04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85802BEFE4EA2A2213393E87B1DF882ECD6E21DE03A8FD6641DE149853BF20A2781CBC5CDAEA795D3A42DA1559177ADC98318C6606E65VFbBJ" TargetMode="External"/><Relationship Id="rId13" Type="http://schemas.openxmlformats.org/officeDocument/2006/relationships/hyperlink" Target="consultantplus://offline/ref=D9785802BEFE4EA2A2213393E87B1DF882EADCE319E33A8FD6641DE149853BF20A2781CBC5CCAFA39CD3A42DA1559177ADC98318C6606E65VFb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85802BEFE4EA2A2213393E87B1DF882EAD8E41BE13A8FD6641DE149853BF21827D9C7C5CFB1A39CC6F27CE4V0b8J" TargetMode="External"/><Relationship Id="rId12" Type="http://schemas.openxmlformats.org/officeDocument/2006/relationships/hyperlink" Target="consultantplus://offline/ref=D9785802BEFE4EA2A2213393E87B1DF881E3D8EE1DEC3A8FD6641DE149853BF21827D9C7C5CFB1A39CC6F27CE4V0b8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85802BEFE4EA2A2213393E87B1DF881E3D9E119ED3A8FD6641DE149853BF20A2781CBC5CCAFA69ED3A42DA1559177ADC98318C6606E65VFbBJ" TargetMode="External"/><Relationship Id="rId11" Type="http://schemas.openxmlformats.org/officeDocument/2006/relationships/hyperlink" Target="consultantplus://offline/ref=D9785802BEFE4EA2A2213393E87B1DF880EBDCEE1FE03A8FD6641DE149853BF21827D9C7C5CFB1A39CC6F27CE4V0b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785802BEFE4EA2A2213393E87B1DF882EEDCE618E53A8FD6641DE149853BF20A2781CBC5CCAFA39ED3A42DA1559177ADC98318C6606E65VFbBJ" TargetMode="External"/><Relationship Id="rId10" Type="http://schemas.openxmlformats.org/officeDocument/2006/relationships/hyperlink" Target="consultantplus://offline/ref=D9785802BEFE4EA2A2213393E87B1DF882EEDAE61FE33A8FD6641DE149853BF21827D9C7C5CFB1A39CC6F27CE4V0b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85802BEFE4EA2A2213393E87B1DF881E2D8E11DE63A8FD6641DE149853BF20A2781CBC5CCAFA09DD3A42DA1559177ADC98318C6606E65VFbBJ" TargetMode="External"/><Relationship Id="rId14" Type="http://schemas.openxmlformats.org/officeDocument/2006/relationships/hyperlink" Target="consultantplus://offline/ref=D9785802BEFE4EA2A2213393E87B1DF882EEDEE21EED3A8FD6641DE149853BF20A2781CBC5CCAFA39AD3A42DA1559177ADC98318C6606E65VF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2018-10-03T09:27:00Z</dcterms:created>
  <dcterms:modified xsi:type="dcterms:W3CDTF">2018-10-03T09:27:00Z</dcterms:modified>
</cp:coreProperties>
</file>